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E52E" w14:textId="77777777" w:rsidR="00C142DC" w:rsidRDefault="00C142DC">
      <w:pPr>
        <w:rPr>
          <w:rFonts w:ascii="Times New Roman" w:hAnsi="Times New Roman"/>
        </w:rPr>
      </w:pPr>
    </w:p>
    <w:p w14:paraId="5191CB0F" w14:textId="77777777" w:rsidR="00C142DC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pict w14:anchorId="35901471">
          <v:shapetype id="_x0000_t202" coordsize="21600,21600" o:spt="202" path="m,l,21600r21600,l21600,xe">
            <v:stroke joinstyle="miter"/>
            <v:path gradientshapeok="t" o:connecttype="rect"/>
          </v:shapetype>
          <v:shape id="Okvir za tekst 3" o:spid="_x0000_s1027" type="#_x0000_t202" style="position:absolute;margin-left:117.2pt;margin-top:14.15pt;width:285pt;height:63.15pt;z-index:251657728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" strokecolor="white">
            <v:textbox style="mso-fit-shape-to-text:t">
              <w:txbxContent>
                <w:p w14:paraId="5352E437" w14:textId="77777777" w:rsidR="00C142DC" w:rsidRDefault="00000000">
                  <w:pPr>
                    <w:spacing w:after="0" w:line="240" w:lineRule="auto"/>
                    <w:ind w:left="34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Институт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за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онкологију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и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радиологију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Србије</w:t>
                  </w:r>
                </w:p>
                <w:p w14:paraId="2E09FF9A" w14:textId="77777777" w:rsidR="00C142DC" w:rsidRDefault="00000000">
                  <w:pPr>
                    <w:spacing w:after="0" w:line="240" w:lineRule="auto"/>
                    <w:ind w:left="33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Пастерова 14, Београд, Србија</w:t>
                  </w:r>
                </w:p>
                <w:p w14:paraId="509F86D1" w14:textId="77777777" w:rsidR="00C142DC" w:rsidRDefault="00000000">
                  <w:pPr>
                    <w:spacing w:after="0" w:line="240" w:lineRule="auto"/>
                    <w:ind w:left="33" w:right="318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+381 11 2067 100  </w:t>
                  </w:r>
                </w:p>
                <w:p w14:paraId="1303F1E5" w14:textId="77777777" w:rsidR="00C142DC" w:rsidRDefault="00C142D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hyperlink r:id="rId9" w:history="1"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iors</w:t>
                    </w:r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@</w:t>
                    </w:r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ncrc</w:t>
                    </w:r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.</w:t>
                    </w:r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ac</w:t>
                    </w:r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.</w:t>
                    </w:r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rs</w:t>
                    </w:r>
                  </w:hyperlink>
                  <w:r w:rsidR="0000000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hyperlink r:id="rId10" w:history="1"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www</w:t>
                    </w:r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.</w:t>
                    </w:r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ncrc</w:t>
                    </w:r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.</w:t>
                    </w:r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ac</w:t>
                    </w:r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rs</w:t>
                    </w:r>
                    <w:proofErr w:type="spellEnd"/>
                  </w:hyperlink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0" locked="0" layoutInCell="1" allowOverlap="1" wp14:anchorId="1E9A9FB8" wp14:editId="2CEE09D8">
            <wp:simplePos x="0" y="0"/>
            <wp:positionH relativeFrom="margin">
              <wp:posOffset>895350</wp:posOffset>
            </wp:positionH>
            <wp:positionV relativeFrom="margin">
              <wp:posOffset>600710</wp:posOffset>
            </wp:positionV>
            <wp:extent cx="640715" cy="571500"/>
            <wp:effectExtent l="19050" t="0" r="6985" b="0"/>
            <wp:wrapSquare wrapText="bothSides"/>
            <wp:docPr id="2" name="Picture 17" descr="LOGO P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7" descr="LOGO PRO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5150" t="7086" r="33449" b="46535"/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1" w:rightFromText="181" w:vertAnchor="page" w:horzAnchor="margin" w:tblpX="40" w:tblpY="10607"/>
        <w:tblOverlap w:val="never"/>
        <w:tblW w:w="4925" w:type="pct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58"/>
        <w:gridCol w:w="6546"/>
      </w:tblGrid>
      <w:tr w:rsidR="00C142DC" w14:paraId="38377E9C" w14:textId="77777777">
        <w:trPr>
          <w:trHeight w:val="680"/>
        </w:trPr>
        <w:tc>
          <w:tcPr>
            <w:tcW w:w="1405" w:type="pct"/>
            <w:vAlign w:val="center"/>
          </w:tcPr>
          <w:p w14:paraId="6127E4E0" w14:textId="77777777" w:rsidR="00C142D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Ознака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процедуре</w:t>
            </w:r>
            <w:proofErr w:type="spellEnd"/>
          </w:p>
        </w:tc>
        <w:tc>
          <w:tcPr>
            <w:tcW w:w="3595" w:type="pct"/>
            <w:vAlign w:val="center"/>
          </w:tcPr>
          <w:p w14:paraId="52844AD4" w14:textId="77777777" w:rsidR="00C142DC" w:rsidRDefault="00000000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П.КИО.20</w:t>
            </w:r>
          </w:p>
        </w:tc>
      </w:tr>
      <w:tr w:rsidR="00C142DC" w14:paraId="617D71CB" w14:textId="77777777">
        <w:trPr>
          <w:trHeight w:val="680"/>
        </w:trPr>
        <w:tc>
          <w:tcPr>
            <w:tcW w:w="1405" w:type="pct"/>
            <w:vAlign w:val="center"/>
          </w:tcPr>
          <w:p w14:paraId="4400E71C" w14:textId="77777777" w:rsidR="00C142D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Верзија</w:t>
            </w:r>
            <w:proofErr w:type="spellEnd"/>
          </w:p>
        </w:tc>
        <w:tc>
          <w:tcPr>
            <w:tcW w:w="3595" w:type="pct"/>
            <w:vAlign w:val="center"/>
          </w:tcPr>
          <w:p w14:paraId="71AEFF1A" w14:textId="77777777" w:rsidR="00C142DC" w:rsidRPr="00AC1ADA" w:rsidRDefault="00000000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AC1AD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</w:tr>
      <w:tr w:rsidR="00C142DC" w14:paraId="27D5DCC8" w14:textId="77777777">
        <w:trPr>
          <w:trHeight w:val="512"/>
        </w:trPr>
        <w:tc>
          <w:tcPr>
            <w:tcW w:w="1405" w:type="pct"/>
            <w:vAlign w:val="center"/>
          </w:tcPr>
          <w:p w14:paraId="24836193" w14:textId="77777777" w:rsidR="00C142D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Датум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усвајања</w:t>
            </w:r>
            <w:proofErr w:type="spellEnd"/>
          </w:p>
        </w:tc>
        <w:tc>
          <w:tcPr>
            <w:tcW w:w="3595" w:type="pct"/>
            <w:vAlign w:val="center"/>
          </w:tcPr>
          <w:p w14:paraId="5F42FC4C" w14:textId="517EBBB2" w:rsidR="00C142DC" w:rsidRPr="00AC1ADA" w:rsidRDefault="00AC1ADA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05</w:t>
            </w:r>
            <w:r w:rsidR="00000000" w:rsidRPr="00AC1AD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="00000000" w:rsidRPr="00AC1AD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="00000000" w:rsidRPr="00AC1A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42DC" w14:paraId="1B09CC54" w14:textId="77777777">
        <w:trPr>
          <w:trHeight w:val="1385"/>
        </w:trPr>
        <w:tc>
          <w:tcPr>
            <w:tcW w:w="1405" w:type="pct"/>
            <w:vAlign w:val="center"/>
          </w:tcPr>
          <w:p w14:paraId="5283B115" w14:textId="77777777" w:rsidR="00C142D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Аутори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процедуре</w:t>
            </w:r>
            <w:proofErr w:type="spellEnd"/>
          </w:p>
        </w:tc>
        <w:tc>
          <w:tcPr>
            <w:tcW w:w="3595" w:type="pct"/>
            <w:vAlign w:val="center"/>
          </w:tcPr>
          <w:p w14:paraId="212D56F6" w14:textId="77777777" w:rsidR="00C142DC" w:rsidRDefault="00000000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 сци. мед. Снежана Шушњар</w:t>
            </w:r>
          </w:p>
          <w:p w14:paraId="636DD728" w14:textId="77777777" w:rsidR="00C142DC" w:rsidRDefault="00000000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Н. Сав.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 сци. мед. Снежана Бошњак</w:t>
            </w:r>
          </w:p>
          <w:p w14:paraId="07E417CA" w14:textId="77777777" w:rsidR="00C142D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Јелена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Димитријевић</w:t>
            </w:r>
            <w:proofErr w:type="spellEnd"/>
          </w:p>
          <w:p w14:paraId="54715655" w14:textId="77777777" w:rsidR="00C142DC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Струк. мед. сестра Наташа Бакић</w:t>
            </w:r>
          </w:p>
        </w:tc>
      </w:tr>
      <w:tr w:rsidR="00C142DC" w14:paraId="0DD30C7D" w14:textId="77777777">
        <w:trPr>
          <w:trHeight w:val="680"/>
        </w:trPr>
        <w:tc>
          <w:tcPr>
            <w:tcW w:w="1405" w:type="pct"/>
            <w:vAlign w:val="center"/>
          </w:tcPr>
          <w:p w14:paraId="61F07700" w14:textId="77777777" w:rsidR="00C142D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Носилац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процедуре</w:t>
            </w:r>
            <w:proofErr w:type="spellEnd"/>
          </w:p>
        </w:tc>
        <w:tc>
          <w:tcPr>
            <w:tcW w:w="3595" w:type="pct"/>
            <w:vAlign w:val="center"/>
          </w:tcPr>
          <w:p w14:paraId="61121596" w14:textId="77777777" w:rsidR="00C142DC" w:rsidRDefault="00000000">
            <w:pPr>
              <w:spacing w:after="0" w:line="240" w:lineRule="auto"/>
              <w:ind w:left="31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Прим. др сци. мед. Маријана Миловић - Ковачевић</w:t>
            </w:r>
          </w:p>
        </w:tc>
      </w:tr>
      <w:tr w:rsidR="00C142DC" w14:paraId="17223D11" w14:textId="77777777">
        <w:trPr>
          <w:trHeight w:val="680"/>
        </w:trPr>
        <w:tc>
          <w:tcPr>
            <w:tcW w:w="1405" w:type="pct"/>
            <w:vAlign w:val="center"/>
          </w:tcPr>
          <w:p w14:paraId="7492C796" w14:textId="77777777" w:rsidR="00C142DC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Процедуру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одобрио</w:t>
            </w:r>
            <w:proofErr w:type="spellEnd"/>
          </w:p>
        </w:tc>
        <w:tc>
          <w:tcPr>
            <w:tcW w:w="3595" w:type="pct"/>
            <w:vAlign w:val="center"/>
          </w:tcPr>
          <w:p w14:paraId="3DFFBDD4" w14:textId="77777777" w:rsidR="00C142DC" w:rsidRDefault="00000000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Жегарац</w:t>
            </w:r>
            <w:proofErr w:type="spellEnd"/>
          </w:p>
        </w:tc>
      </w:tr>
    </w:tbl>
    <w:p w14:paraId="178D80DB" w14:textId="77777777" w:rsidR="00C142DC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lang w:eastAsia="zh-TW"/>
        </w:rPr>
        <w:pict w14:anchorId="42FC7F8E">
          <v:shape id="Okvir za tekst 1" o:spid="_x0000_s1026" type="#_x0000_t202" style="position:absolute;margin-left:98.4pt;margin-top:271.3pt;width:395.45pt;height:182.7pt;z-index:251658752;mso-wrap-distance-left:9pt;mso-wrap-distance-top:0;mso-wrap-distance-right:9pt;mso-wrap-distance-bottom:0;mso-position-horizontal-relative:page;mso-position-vertic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" o:allowincell="f" o:allowoverlap="f" stroked="f">
            <v:textbox>
              <w:txbxContent>
                <w:p w14:paraId="1D6D6C8F" w14:textId="3145BC37" w:rsidR="00C142DC" w:rsidRDefault="00000000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32"/>
                      <w:lang w:val="sr-Cyrl-CS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  <w:szCs w:val="32"/>
                      <w:lang w:val="ru-RU"/>
                    </w:rPr>
                    <w:t>ПРОЦЕДУРА</w:t>
                  </w:r>
                </w:p>
                <w:p w14:paraId="09EA7DB9" w14:textId="56A75DD4" w:rsidR="00C142DC" w:rsidRDefault="00000000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  <w:szCs w:val="32"/>
                      <w:lang w:val="ru-RU"/>
                    </w:rPr>
                    <w:t>ОРГАНИЗАЦИЈ</w:t>
                  </w:r>
                  <w:r w:rsidR="00AC1ADA">
                    <w:rPr>
                      <w:rFonts w:ascii="Times New Roman" w:hAnsi="Times New Roman"/>
                      <w:b/>
                      <w:sz w:val="40"/>
                      <w:szCs w:val="32"/>
                      <w:lang w:val="ru-RU"/>
                    </w:rPr>
                    <w:t>Е</w:t>
                  </w:r>
                  <w:r>
                    <w:rPr>
                      <w:rFonts w:ascii="Times New Roman" w:hAnsi="Times New Roman"/>
                      <w:b/>
                      <w:sz w:val="40"/>
                      <w:szCs w:val="32"/>
                      <w:lang w:val="ru-RU"/>
                    </w:rPr>
                    <w:t xml:space="preserve"> РАДА </w:t>
                  </w:r>
                  <w:r>
                    <w:rPr>
                      <w:rFonts w:ascii="Times New Roman" w:hAnsi="Times New Roman"/>
                      <w:b/>
                      <w:sz w:val="40"/>
                      <w:szCs w:val="32"/>
                    </w:rPr>
                    <w:t xml:space="preserve">                   </w:t>
                  </w:r>
                  <w:r>
                    <w:rPr>
                      <w:rFonts w:ascii="Times New Roman" w:hAnsi="Times New Roman"/>
                      <w:b/>
                      <w:sz w:val="40"/>
                      <w:szCs w:val="32"/>
                      <w:lang w:val="ru-RU"/>
                    </w:rPr>
                    <w:t xml:space="preserve">МОБИЛНОГ ТИМА ЗА СУПОРТИВНУ ОНКОЛОГИЈУ И АМБУЛАНТЕ </w:t>
                  </w:r>
                  <w:r>
                    <w:rPr>
                      <w:rFonts w:ascii="Times New Roman" w:hAnsi="Times New Roman"/>
                      <w:b/>
                      <w:sz w:val="40"/>
                      <w:szCs w:val="32"/>
                    </w:rPr>
                    <w:t xml:space="preserve">                    </w:t>
                  </w:r>
                  <w:r>
                    <w:rPr>
                      <w:rFonts w:ascii="Times New Roman" w:hAnsi="Times New Roman"/>
                      <w:b/>
                      <w:sz w:val="40"/>
                      <w:szCs w:val="32"/>
                      <w:lang w:val="ru-RU"/>
                    </w:rPr>
                    <w:t xml:space="preserve">ЗА СУПОРТИВНУ ОНКОЛОГИЈУ </w:t>
                  </w:r>
                  <w:r>
                    <w:rPr>
                      <w:rFonts w:ascii="Times New Roman" w:hAnsi="Times New Roman"/>
                      <w:b/>
                      <w:sz w:val="40"/>
                      <w:szCs w:val="32"/>
                    </w:rPr>
                    <w:t xml:space="preserve">                   </w:t>
                  </w:r>
                  <w:r>
                    <w:rPr>
                      <w:rFonts w:ascii="Times New Roman" w:hAnsi="Times New Roman"/>
                      <w:b/>
                      <w:sz w:val="40"/>
                      <w:szCs w:val="32"/>
                      <w:lang w:val="ru-RU"/>
                    </w:rPr>
                    <w:t>И ПАЛИЈАТИВНО ЗБРИЊАВАЊЕ</w:t>
                  </w:r>
                </w:p>
                <w:p w14:paraId="03E5D889" w14:textId="77777777" w:rsidR="00C142DC" w:rsidRDefault="00C142DC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</w:p>
                <w:p w14:paraId="23B0A755" w14:textId="77777777" w:rsidR="00C142DC" w:rsidRDefault="00C142DC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</w:p>
                <w:p w14:paraId="4B103E1F" w14:textId="77777777" w:rsidR="00C142DC" w:rsidRDefault="00C142DC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</w:p>
                <w:p w14:paraId="492C07B9" w14:textId="77777777" w:rsidR="00C142DC" w:rsidRDefault="00C142DC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type="square" anchorx="page" anchory="margin"/>
            <w10:anchorlock/>
          </v:shape>
        </w:pict>
      </w:r>
      <w:r>
        <w:rPr>
          <w:rFonts w:ascii="Times New Roman" w:hAnsi="Times New Roman"/>
        </w:rPr>
        <w:br w:type="page"/>
      </w:r>
    </w:p>
    <w:p w14:paraId="2A951692" w14:textId="77777777" w:rsidR="00C142DC" w:rsidRDefault="00000000">
      <w:pPr>
        <w:pStyle w:val="NaslovDEFINICIJE"/>
        <w:numPr>
          <w:ilvl w:val="0"/>
          <w:numId w:val="1"/>
        </w:numPr>
        <w:spacing w:before="0" w:after="0"/>
        <w:ind w:left="180" w:hanging="18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 ДЕФИНИЦИЈЕ И СКРАЋЕНИЦЕ</w:t>
      </w:r>
    </w:p>
    <w:p w14:paraId="348F9DAE" w14:textId="77777777" w:rsidR="00C142DC" w:rsidRDefault="00C142DC">
      <w:pPr>
        <w:pStyle w:val="NaslovDEFINICIJE"/>
        <w:spacing w:before="0" w:after="0"/>
        <w:ind w:left="720"/>
        <w:rPr>
          <w:rFonts w:ascii="Times New Roman" w:hAnsi="Times New Roman"/>
          <w:szCs w:val="24"/>
        </w:rPr>
      </w:pPr>
    </w:p>
    <w:p w14:paraId="04A0F05C" w14:textId="77777777" w:rsidR="00C142DC" w:rsidRDefault="00000000">
      <w:pPr>
        <w:spacing w:after="0"/>
        <w:rPr>
          <w:rFonts w:ascii="Times New Roman" w:eastAsia="Times New Roman" w:hAnsi="Times New Roman"/>
          <w:kern w:val="28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ИОРС 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>= Институт за онкологију и радиологију Србије</w:t>
      </w:r>
    </w:p>
    <w:p w14:paraId="2D31AC3A" w14:textId="77777777" w:rsidR="00C142DC" w:rsidRDefault="00000000">
      <w:pPr>
        <w:spacing w:after="0"/>
        <w:rPr>
          <w:rFonts w:ascii="Times New Roman" w:eastAsia="Times New Roman" w:hAnsi="Times New Roman"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ЕСАС 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>= помагало за процену присуства и тежине симтпома малигне болести (</w:t>
      </w:r>
      <w:proofErr w:type="spellStart"/>
      <w:r>
        <w:rPr>
          <w:rFonts w:ascii="Times New Roman" w:eastAsia="Times New Roman" w:hAnsi="Times New Roman"/>
          <w:kern w:val="28"/>
          <w:sz w:val="24"/>
          <w:szCs w:val="24"/>
        </w:rPr>
        <w:t>eng</w:t>
      </w:r>
      <w:proofErr w:type="spellEnd"/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/>
          <w:kern w:val="28"/>
          <w:sz w:val="24"/>
          <w:szCs w:val="24"/>
        </w:rPr>
        <w:t xml:space="preserve">Edmonton Symptom Assessment System) </w:t>
      </w:r>
    </w:p>
    <w:p w14:paraId="65A8E663" w14:textId="77777777" w:rsidR="00C142DC" w:rsidRDefault="00000000">
      <w:pPr>
        <w:spacing w:after="0"/>
        <w:rPr>
          <w:rFonts w:ascii="Times New Roman" w:eastAsia="Times New Roman" w:hAnsi="Times New Roman"/>
          <w:kern w:val="28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</w:rPr>
        <w:t xml:space="preserve">НЦИ ЦТЦАЕ </w:t>
      </w:r>
      <w:r>
        <w:rPr>
          <w:rFonts w:ascii="Times New Roman" w:eastAsia="Times New Roman" w:hAnsi="Times New Roman"/>
          <w:kern w:val="28"/>
          <w:sz w:val="24"/>
          <w:szCs w:val="24"/>
        </w:rPr>
        <w:t>=</w:t>
      </w:r>
      <w:r>
        <w:rPr>
          <w:rFonts w:ascii="Times New Roman" w:eastAsia="Times New Roman" w:hAnsi="Times New Roman"/>
          <w:b/>
          <w:kern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8"/>
          <w:sz w:val="24"/>
          <w:szCs w:val="24"/>
        </w:rPr>
        <w:t>енг</w:t>
      </w:r>
      <w:proofErr w:type="spellEnd"/>
      <w:r>
        <w:rPr>
          <w:rFonts w:ascii="Times New Roman" w:eastAsia="Times New Roman" w:hAnsi="Times New Roman"/>
          <w:b/>
          <w:kern w:val="28"/>
          <w:sz w:val="24"/>
          <w:szCs w:val="24"/>
        </w:rPr>
        <w:t xml:space="preserve">. NCI CTCAE </w:t>
      </w:r>
      <w:r>
        <w:rPr>
          <w:rFonts w:ascii="Times New Roman" w:eastAsia="Times New Roman" w:hAnsi="Times New Roman"/>
          <w:kern w:val="28"/>
          <w:sz w:val="24"/>
          <w:szCs w:val="24"/>
        </w:rPr>
        <w:t xml:space="preserve">- National Cancer Institute Common Terminology Criteria for Adverse Events. 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 xml:space="preserve">Критеријуми за процену тежине нежељених дејстава антинеопластичне </w:t>
      </w:r>
      <w:r>
        <w:rPr>
          <w:rFonts w:ascii="Times New Roman" w:eastAsia="Times New Roman" w:hAnsi="Times New Roman"/>
          <w:kern w:val="28"/>
          <w:sz w:val="24"/>
          <w:szCs w:val="24"/>
        </w:rPr>
        <w:t>t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>ерапије, Националног Института за рак Америке.</w:t>
      </w:r>
    </w:p>
    <w:p w14:paraId="1B9B6272" w14:textId="77777777" w:rsidR="00C142DC" w:rsidRDefault="00000000">
      <w:pPr>
        <w:spacing w:after="0"/>
        <w:rPr>
          <w:rFonts w:ascii="Times New Roman" w:eastAsia="Times New Roman" w:hAnsi="Times New Roman"/>
          <w:kern w:val="28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НЦИ ПРО-ЦТЦАЕ 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>=</w:t>
      </w: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 енг. </w:t>
      </w:r>
      <w:r>
        <w:rPr>
          <w:rFonts w:ascii="Times New Roman" w:eastAsia="Times New Roman" w:hAnsi="Times New Roman"/>
          <w:b/>
          <w:kern w:val="28"/>
          <w:sz w:val="24"/>
          <w:szCs w:val="24"/>
        </w:rPr>
        <w:t>NCIPRO</w:t>
      </w: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>-</w:t>
      </w:r>
      <w:r>
        <w:rPr>
          <w:rFonts w:ascii="Times New Roman" w:eastAsia="Times New Roman" w:hAnsi="Times New Roman"/>
          <w:b/>
          <w:kern w:val="28"/>
          <w:sz w:val="24"/>
          <w:szCs w:val="24"/>
        </w:rPr>
        <w:t xml:space="preserve">CTCAE 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/>
          <w:kern w:val="28"/>
          <w:sz w:val="24"/>
          <w:szCs w:val="24"/>
        </w:rPr>
        <w:t>National Cancer Institute Patient Reported Outcomes version of the Common Terminology Criteria for Adverse Events.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 xml:space="preserve">  Критеријуми за процену тежине нежељених дејстава антинеопластичне терапије од стране пацијената, Националног Института за рак Америке</w:t>
      </w:r>
    </w:p>
    <w:p w14:paraId="331C7A45" w14:textId="77777777" w:rsidR="00C142DC" w:rsidRDefault="00000000">
      <w:pPr>
        <w:spacing w:after="0"/>
        <w:rPr>
          <w:rFonts w:ascii="Times New Roman" w:eastAsia="Times New Roman" w:hAnsi="Times New Roman"/>
          <w:kern w:val="28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Г-ЦСФ 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>=</w:t>
      </w: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 енг.</w:t>
      </w:r>
      <w:r>
        <w:rPr>
          <w:rFonts w:ascii="Times New Roman" w:eastAsia="Times New Roman" w:hAnsi="Times New Roman"/>
          <w:b/>
          <w:kern w:val="28"/>
          <w:sz w:val="24"/>
          <w:szCs w:val="24"/>
        </w:rPr>
        <w:t>G</w:t>
      </w: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>-</w:t>
      </w:r>
      <w:r>
        <w:rPr>
          <w:rFonts w:ascii="Times New Roman" w:eastAsia="Times New Roman" w:hAnsi="Times New Roman"/>
          <w:b/>
          <w:kern w:val="28"/>
          <w:sz w:val="24"/>
          <w:szCs w:val="24"/>
        </w:rPr>
        <w:t>CSF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eastAsia="Times New Roman" w:hAnsi="Times New Roman"/>
          <w:kern w:val="28"/>
          <w:sz w:val="24"/>
          <w:szCs w:val="24"/>
        </w:rPr>
        <w:t>Granylocyte</w:t>
      </w:r>
      <w:proofErr w:type="spellEnd"/>
      <w:r>
        <w:rPr>
          <w:rFonts w:ascii="Times New Roman" w:eastAsia="Times New Roman" w:hAnsi="Times New Roman"/>
          <w:kern w:val="28"/>
          <w:sz w:val="24"/>
          <w:szCs w:val="24"/>
        </w:rPr>
        <w:t xml:space="preserve"> Colony Stimulating Factor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 xml:space="preserve">) – Фактор раста гранулоцитних колонија </w:t>
      </w:r>
    </w:p>
    <w:p w14:paraId="668B6E26" w14:textId="77777777" w:rsidR="00C142DC" w:rsidRDefault="00000000">
      <w:pPr>
        <w:spacing w:after="0"/>
        <w:rPr>
          <w:rFonts w:ascii="Times New Roman" w:eastAsia="Times New Roman" w:hAnsi="Times New Roman"/>
          <w:kern w:val="28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КИО 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>= Клиника за интернистичку онкологију</w:t>
      </w:r>
    </w:p>
    <w:p w14:paraId="0E0D93C8" w14:textId="77777777" w:rsidR="00C142DC" w:rsidRDefault="00000000">
      <w:pPr>
        <w:spacing w:after="0"/>
        <w:rPr>
          <w:rFonts w:ascii="Times New Roman" w:eastAsia="Times New Roman" w:hAnsi="Times New Roman"/>
          <w:kern w:val="28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>ОСОПЗ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 xml:space="preserve"> = Одељење за супортивну онкологију и палијативно збрињавање у ИОРС</w:t>
      </w:r>
    </w:p>
    <w:p w14:paraId="39EB0951" w14:textId="77777777" w:rsidR="00C142DC" w:rsidRDefault="00000000">
      <w:pPr>
        <w:spacing w:after="0"/>
        <w:rPr>
          <w:rFonts w:ascii="Times New Roman" w:eastAsia="Times New Roman" w:hAnsi="Times New Roman"/>
          <w:kern w:val="28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>ОДБИГ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 xml:space="preserve"> = Одсек дневне болнице интернистичких грана за супортивну онкологију</w:t>
      </w:r>
    </w:p>
    <w:p w14:paraId="08D141F8" w14:textId="77777777" w:rsidR="00C142DC" w:rsidRDefault="00000000">
      <w:pPr>
        <w:spacing w:after="0"/>
        <w:rPr>
          <w:rFonts w:ascii="Times New Roman" w:eastAsia="Times New Roman" w:hAnsi="Times New Roman"/>
          <w:kern w:val="28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ДБСО 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>= Дневна болница у саставу Одсека дневне болнице интернистичких грана за супортивну онкологију</w:t>
      </w:r>
    </w:p>
    <w:p w14:paraId="5EDC7CE4" w14:textId="77777777" w:rsidR="00C142DC" w:rsidRDefault="00000000">
      <w:pPr>
        <w:spacing w:after="0"/>
        <w:rPr>
          <w:rFonts w:ascii="Times New Roman" w:eastAsia="Times New Roman" w:hAnsi="Times New Roman"/>
          <w:kern w:val="28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ОИОН/СТ 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>= Одсек за интензивну онколошку негу и супортивну терапију</w:t>
      </w:r>
    </w:p>
    <w:p w14:paraId="4BB020B4" w14:textId="77777777" w:rsidR="00C142DC" w:rsidRDefault="00000000">
      <w:pPr>
        <w:spacing w:after="0"/>
        <w:rPr>
          <w:rFonts w:ascii="Times New Roman" w:eastAsia="Times New Roman" w:hAnsi="Times New Roman"/>
          <w:kern w:val="28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ЕСМО 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>=</w:t>
      </w: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 енг. </w:t>
      </w:r>
      <w:r>
        <w:rPr>
          <w:rFonts w:ascii="Times New Roman" w:eastAsia="Times New Roman" w:hAnsi="Times New Roman"/>
          <w:b/>
          <w:kern w:val="28"/>
          <w:sz w:val="24"/>
          <w:szCs w:val="24"/>
        </w:rPr>
        <w:t>ESMO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/>
          <w:kern w:val="28"/>
          <w:sz w:val="24"/>
          <w:szCs w:val="24"/>
        </w:rPr>
        <w:t>European Society for Medical Oncology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>) – Европско удружење медикалних онколога</w:t>
      </w:r>
    </w:p>
    <w:p w14:paraId="3EE3661E" w14:textId="77777777" w:rsidR="00C142DC" w:rsidRDefault="00000000">
      <w:pPr>
        <w:spacing w:after="0"/>
        <w:rPr>
          <w:rFonts w:ascii="Times New Roman" w:eastAsia="Times New Roman" w:hAnsi="Times New Roman"/>
          <w:kern w:val="28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ЕСПЕН 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>=</w:t>
      </w: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 енг. </w:t>
      </w:r>
      <w:r>
        <w:rPr>
          <w:rFonts w:ascii="Times New Roman" w:eastAsia="Times New Roman" w:hAnsi="Times New Roman"/>
          <w:b/>
          <w:kern w:val="28"/>
          <w:sz w:val="24"/>
          <w:szCs w:val="24"/>
        </w:rPr>
        <w:t>ESPEN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/>
          <w:kern w:val="28"/>
          <w:sz w:val="24"/>
          <w:szCs w:val="24"/>
        </w:rPr>
        <w:t>European Society for Clinical Nutrition and Metabolism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 xml:space="preserve">) – Евроспко удружење за клиничку нутрицију и метаболизам </w:t>
      </w:r>
    </w:p>
    <w:p w14:paraId="34D166BD" w14:textId="77777777" w:rsidR="00C142DC" w:rsidRDefault="00000000">
      <w:pPr>
        <w:spacing w:after="0"/>
        <w:rPr>
          <w:rFonts w:ascii="Times New Roman" w:eastAsia="Times New Roman" w:hAnsi="Times New Roman"/>
          <w:kern w:val="28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МАСЦЦ 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>=</w:t>
      </w: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 енг. </w:t>
      </w:r>
      <w:r>
        <w:rPr>
          <w:rFonts w:ascii="Times New Roman" w:eastAsia="Times New Roman" w:hAnsi="Times New Roman"/>
          <w:b/>
          <w:kern w:val="28"/>
          <w:sz w:val="24"/>
          <w:szCs w:val="24"/>
        </w:rPr>
        <w:t>MASCC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/>
          <w:kern w:val="28"/>
          <w:sz w:val="24"/>
          <w:szCs w:val="24"/>
        </w:rPr>
        <w:t>Multinational Association for Supportive Care in Cancer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>) – Међународно удружење за супортивну терапију оболелих од малигних болести</w:t>
      </w:r>
    </w:p>
    <w:p w14:paraId="605F3255" w14:textId="77777777" w:rsidR="00C142DC" w:rsidRDefault="00000000">
      <w:pPr>
        <w:spacing w:after="0"/>
        <w:rPr>
          <w:rFonts w:ascii="Times New Roman" w:eastAsia="Times New Roman" w:hAnsi="Times New Roman"/>
          <w:kern w:val="28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val="ru-RU"/>
        </w:rPr>
        <w:t xml:space="preserve">УКЦС </w:t>
      </w:r>
      <w:r>
        <w:rPr>
          <w:rFonts w:ascii="Times New Roman" w:eastAsia="Times New Roman" w:hAnsi="Times New Roman"/>
          <w:kern w:val="28"/>
          <w:sz w:val="24"/>
          <w:szCs w:val="24"/>
          <w:lang w:val="ru-RU"/>
        </w:rPr>
        <w:t>= Универзитетски клинички центар Србије</w:t>
      </w:r>
    </w:p>
    <w:p w14:paraId="3F1AC045" w14:textId="77777777" w:rsidR="00C142DC" w:rsidRDefault="00C142D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04EE54C" w14:textId="77777777" w:rsidR="00C142DC" w:rsidRDefault="00000000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</w:t>
      </w:r>
    </w:p>
    <w:p w14:paraId="6DBF39FF" w14:textId="77777777" w:rsidR="00C142DC" w:rsidRDefault="00C142DC">
      <w:pPr>
        <w:spacing w:after="0"/>
        <w:ind w:left="-270" w:hanging="270"/>
        <w:rPr>
          <w:rFonts w:ascii="Times New Roman" w:hAnsi="Times New Roman"/>
          <w:sz w:val="24"/>
          <w:szCs w:val="24"/>
        </w:rPr>
      </w:pPr>
    </w:p>
    <w:p w14:paraId="5C20DDFA" w14:textId="77777777" w:rsidR="00C142DC" w:rsidRDefault="00000000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Ова процедура описује рад мобилног тима за супортивну онкологију и палијативно збрињавање и Амбуланте за супортивну онкологију и палијативно збрињавање             у Институту за онкологију и радиологију Србије. </w:t>
      </w:r>
    </w:p>
    <w:p w14:paraId="73F0AF16" w14:textId="77777777" w:rsidR="00C142DC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Основна делатност подразумева процену тежине симптома малигне болести (бол          и други симптоми) и њихово лечење, као и авете за превенцију, евалуацију и лечење токсичности онколошког лечења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потреби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процена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нутритивног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статуса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и </w:t>
      </w:r>
      <w:proofErr w:type="spellStart"/>
      <w:r>
        <w:rPr>
          <w:rFonts w:ascii="Times New Roman" w:hAnsi="Times New Roman"/>
          <w:sz w:val="24"/>
          <w:szCs w:val="24"/>
        </w:rPr>
        <w:t>геријатријска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процена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379D514" w14:textId="77777777" w:rsidR="00C142DC" w:rsidRDefault="00C142DC">
      <w:pPr>
        <w:spacing w:after="0"/>
        <w:rPr>
          <w:rFonts w:ascii="Times New Roman" w:hAnsi="Times New Roman"/>
          <w:sz w:val="24"/>
          <w:szCs w:val="24"/>
        </w:rPr>
      </w:pPr>
    </w:p>
    <w:p w14:paraId="23F0444C" w14:textId="77777777" w:rsidR="00C142DC" w:rsidRDefault="00000000">
      <w:pPr>
        <w:pStyle w:val="ListParagraph"/>
        <w:numPr>
          <w:ilvl w:val="0"/>
          <w:numId w:val="1"/>
        </w:numPr>
        <w:spacing w:after="0"/>
        <w:ind w:left="180" w:hanging="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ПОДРУЧЈЕ ПРИМЕНЕ</w:t>
      </w:r>
    </w:p>
    <w:p w14:paraId="5378DDF7" w14:textId="77777777" w:rsidR="00C142DC" w:rsidRDefault="00C142DC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5EE83C13" w14:textId="77777777" w:rsidR="00C142DC" w:rsidRDefault="00000000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Део процедуре који се односи на рад мобилног тима за супортивну онкологију              и палијативно збрињавање примењује се на свим клиникама ИОРС-а.</w:t>
      </w:r>
    </w:p>
    <w:p w14:paraId="0E557B99" w14:textId="77777777" w:rsidR="00C142DC" w:rsidRDefault="00000000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Део процедуре који се односи на рад Амбуланте за супортивну онкологију                     и палијативно збрињавање примењује се примарно у наведеној амбуланти. Амбуланта за супортивну онкологију и палијативно збрињавање је саставна јединица Одсека ДБ, који се налази у саставу Одељења за супортивну онкологију и палијативно збрињавање заједно са ОИОН/СТ, чија је организација обухваћена процедуром са ознаком П.КИО.19 , Одсек дневне болнице за супортивну онкологију и палијативно збрињавање, чија је организација обухваћена процедуром са ознаком П.КИО.21, Амбуланта за онкофертилитет, чија је организација обухваћена процедуром са ознаком П.КИО.11 и П.КИО.12. </w:t>
      </w:r>
    </w:p>
    <w:p w14:paraId="00735622" w14:textId="77777777" w:rsidR="00C142DC" w:rsidRDefault="00C142DC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63BBF6A5" w14:textId="77777777" w:rsidR="00C142DC" w:rsidRDefault="00C142DC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3CF1FCCC" w14:textId="77777777" w:rsidR="00C142DC" w:rsidRDefault="00000000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ОДГОВОРНОСТИ</w:t>
      </w:r>
    </w:p>
    <w:p w14:paraId="2A7BEFC8" w14:textId="77777777" w:rsidR="00C142DC" w:rsidRDefault="00C142DC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6FAAA50B" w14:textId="77777777" w:rsidR="00C142DC" w:rsidRDefault="00000000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Консултативни тим чини: лекар ОСОПЗ И ВМС ОСОПЗ са искуством, едукацијом       и обуком из супортивне терапије/палијативног збрињавања, по потреби и психолог,</w:t>
      </w:r>
    </w:p>
    <w:p w14:paraId="008A8B97" w14:textId="77777777" w:rsidR="00C142DC" w:rsidRDefault="00000000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социјални радник. </w:t>
      </w:r>
    </w:p>
    <w:p w14:paraId="5E19C53E" w14:textId="77777777" w:rsidR="00C142DC" w:rsidRDefault="00C142D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1DB0CDDE" w14:textId="77777777" w:rsidR="00C142DC" w:rsidRDefault="00C142D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22D683A2" w14:textId="77777777" w:rsidR="00C142DC" w:rsidRDefault="00000000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5. ОПИС ПРОЦЕДУРЕ</w:t>
      </w:r>
    </w:p>
    <w:p w14:paraId="1A84AA5B" w14:textId="77777777" w:rsidR="00C142DC" w:rsidRDefault="00C142D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6E8829FD" w14:textId="77777777" w:rsidR="00C142DC" w:rsidRDefault="00000000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5.1. Одговорности лекара:</w:t>
      </w:r>
    </w:p>
    <w:p w14:paraId="78BFD34E" w14:textId="77777777" w:rsidR="00C142DC" w:rsidRDefault="00C142D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721A5609" w14:textId="77777777" w:rsidR="00C142DC" w:rsidRDefault="00000000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5.1.1. Лекар као члан мобилног тима ОИОН/СТ</w:t>
      </w:r>
      <w:r>
        <w:rPr>
          <w:rFonts w:ascii="Times New Roman" w:hAnsi="Times New Roman"/>
          <w:sz w:val="24"/>
          <w:szCs w:val="24"/>
          <w:lang w:val="ru-RU"/>
        </w:rPr>
        <w:t xml:space="preserve"> - активно учествује у раду</w:t>
      </w:r>
    </w:p>
    <w:p w14:paraId="77639D77" w14:textId="77777777" w:rsidR="00C142DC" w:rsidRDefault="00000000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интердисциплинарног мобилног тима за консултације на свим клиникама ИОРС.</w:t>
      </w:r>
    </w:p>
    <w:p w14:paraId="439CC45C" w14:textId="77777777" w:rsidR="00C142DC" w:rsidRDefault="00C142D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7025C713" w14:textId="77777777" w:rsidR="00C142DC" w:rsidRDefault="00000000">
      <w:pPr>
        <w:pStyle w:val="ListParagraph"/>
        <w:numPr>
          <w:ilvl w:val="0"/>
          <w:numId w:val="2"/>
        </w:numPr>
        <w:spacing w:after="0"/>
        <w:ind w:left="450" w:hanging="45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Симптоми малигне болести: лекар помаже пацијенту да процени тежину симптома болести, обавља физикални преглед, прегледа доступну документацију и резултате дијагностичких прегледа и лабораторијских анализа како би установио узрок симптома, и ординирао адекватну фармакотерапију у складу са узроком и доживљајем симптома од стране болесника. Процењује потребу за консултацијом психолога и социјалног радника као члана мобилног тима. </w:t>
      </w:r>
    </w:p>
    <w:p w14:paraId="745312F1" w14:textId="77777777" w:rsidR="00C142DC" w:rsidRDefault="00000000">
      <w:pPr>
        <w:pStyle w:val="ListParagraph"/>
        <w:numPr>
          <w:ilvl w:val="0"/>
          <w:numId w:val="3"/>
        </w:numPr>
        <w:spacing w:after="0"/>
        <w:ind w:left="450" w:hanging="45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Нежељена дејства антинеопластичног лечења: Лекар прави план за превенцију нежељених дејстава специфичног антинеопластичног лечења. Уколико дође             до појаве нежељних дејстава антинеопластичног лечења, лекар је одговоран             за процену и градирање степена тежине нежељених дејстава, прављење плана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лечења, процену успешности прописане супортивне терапије и праћење и превенцију пропратних дејстава ове прописане терапије.</w:t>
      </w:r>
    </w:p>
    <w:p w14:paraId="320AAF3F" w14:textId="77777777" w:rsidR="00C142DC" w:rsidRDefault="00C142DC">
      <w:pPr>
        <w:pStyle w:val="ListParagraph"/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5EF1DBED" w14:textId="77777777" w:rsidR="00C142DC" w:rsidRDefault="00000000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5.1.2. Лекар у Амбуланти за супортивну онкологију и палијативно збрињавање:</w:t>
      </w:r>
      <w:r>
        <w:rPr>
          <w:rFonts w:ascii="Times New Roman" w:hAnsi="Times New Roman"/>
          <w:sz w:val="24"/>
          <w:szCs w:val="24"/>
          <w:lang w:val="ru-RU"/>
        </w:rPr>
        <w:t xml:space="preserve">            прима и прегледа пацијенте по унапред заказаном редоследу, с тим што, у хитним случајевима, лекар пацијента прима, преко реда, вандредно.</w:t>
      </w:r>
    </w:p>
    <w:p w14:paraId="7F8EFD58" w14:textId="77777777" w:rsidR="00C142DC" w:rsidRDefault="00000000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Лекар помаже пацијенту да процени тежину симптома болести, обавља физикални преглед, прегледа доступну документацију и резултате дијагностичких прегледа            и лабораторијских анализа како би установио узрок симптома, ординира адекватну фармакотерапију у складу са узроком и доживљајем симптома од стране болесника; упознаје болесника са могућим нежељеним дејствима аналгетика и других лекова        за контролу симптома; саветује болесника како да спречи појаву нежељених дејстава лекова који се користе у терапији бола и других симптома. Превенира опиофобију правилном едукацијом болесника, као и чланова њихових породица и отклања страхове и заблуде везане за узимање опиоида.</w:t>
      </w:r>
    </w:p>
    <w:p w14:paraId="2B9A088A" w14:textId="77777777" w:rsidR="00C142DC" w:rsidRDefault="00C142D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4F465B71" w14:textId="77777777" w:rsidR="00C142DC" w:rsidRDefault="00000000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потреби лекар упућује пацијента на консултацију психолога и/или социјалног радника, као и консултацију лекара других специјалности. Амбуланта за супортивну онкологију и палијативно збрињавање тесно сарађује Амбулантом за кутану токсичност антинеопластичне терапије и са Амбулантом за кућну парентералну исхрану и интервентне процедуре УКЦС за нутритивну потпору.</w:t>
      </w:r>
    </w:p>
    <w:p w14:paraId="592ED890" w14:textId="77777777" w:rsidR="00C142DC" w:rsidRDefault="00C142D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536F655" w14:textId="77777777" w:rsidR="00C142DC" w:rsidRDefault="00000000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5.2. Одговорности медицинске сестре</w:t>
      </w:r>
    </w:p>
    <w:p w14:paraId="58951BE7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5.2.1. Медицинска сестра као члан мобилног тима ОИОН/СТ- активно учествује у раду интердисциплинарног мобилног тима за консултације на свим клиникама ИОРС, обучава пацијента да пријави и прати тежину симптома, као и медицинско особље о правилној употреби и нежељеним дејствима лекова против бола и других симптома. Такође, медицинска сестра врши едукацију пацијената и особља о нежељеним дејствима специфичног онколошког лечења. </w:t>
      </w:r>
    </w:p>
    <w:p w14:paraId="6B5C6507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5.2.2. Медицинска сестра у амбуланти за бол и друге симптоме врши заказивање пацијената и то према следећим критеријумима:</w:t>
      </w:r>
    </w:p>
    <w:p w14:paraId="529C9DE6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У амбуланту за бол и друге симптоме ИОРС примају се и лече доминантно пацијенти ИОРС, на основу захтева лекара ИОРС за консултацију.</w:t>
      </w:r>
    </w:p>
    <w:p w14:paraId="5D62712C" w14:textId="77777777" w:rsidR="00C142DC" w:rsidRDefault="00C142DC">
      <w:pPr>
        <w:rPr>
          <w:rFonts w:ascii="Times New Roman" w:hAnsi="Times New Roman"/>
          <w:sz w:val="24"/>
          <w:szCs w:val="24"/>
          <w:lang w:val="ru-RU"/>
        </w:rPr>
      </w:pPr>
    </w:p>
    <w:p w14:paraId="249C7F0D" w14:textId="77777777" w:rsidR="00C142DC" w:rsidRDefault="00C142DC">
      <w:pPr>
        <w:rPr>
          <w:rFonts w:ascii="Times New Roman" w:hAnsi="Times New Roman"/>
          <w:sz w:val="24"/>
          <w:szCs w:val="24"/>
          <w:lang w:val="ru-RU"/>
        </w:rPr>
      </w:pPr>
    </w:p>
    <w:p w14:paraId="22C2D5F0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За пацијенте које у амбуланту упућују надлежни лекари, ИОРС пружа услугу само пацијентима који су пацијенти ИОРС.  Пацијенте других установа збрињаваће те  установе. </w:t>
      </w:r>
    </w:p>
    <w:p w14:paraId="27962537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Болесници  са болом као најважнијим симптомом, који су приказани Конзилијуму  и за које је донесена одлука за симптоматску/супортивну терапију, могу добити хитну услугу лечења бола ако то Конзилијум предлаже, али са препоруком да се даље лечење спроводи у надлежном МЦ.</w:t>
      </w:r>
    </w:p>
    <w:p w14:paraId="461E7E54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•</w:t>
      </w:r>
      <w:r>
        <w:rPr>
          <w:rFonts w:ascii="Times New Roman" w:hAnsi="Times New Roman"/>
          <w:sz w:val="24"/>
          <w:szCs w:val="24"/>
          <w:lang w:val="ru-RU"/>
        </w:rPr>
        <w:tab/>
        <w:t>Услугу лечења бола не пружа се само на захтев породице, обавезан је извештај надлежног лекара ИОРС или извештај лекара службе кућног лечења.</w:t>
      </w:r>
    </w:p>
    <w:p w14:paraId="1AE14412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Медицинска сестра попуњава листу за процену јачине и других димензија бола и других симптома (ЕСАС листа).</w:t>
      </w:r>
    </w:p>
    <w:p w14:paraId="4EFD1B10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Обучава болесника да користи скале за процену јачине бола.</w:t>
      </w:r>
    </w:p>
    <w:p w14:paraId="5F041B50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Када је терапија прописана, додатно објашњава и болеснику и породици терапијску шему, као и важност узимања лекова према сатници и њихову правилну употребу.</w:t>
      </w:r>
    </w:p>
    <w:p w14:paraId="3B98B87C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Објашњава појам пробоја бола или неког другог симптома и узимање лекова                 у ситуацији пробоја симптома.</w:t>
      </w:r>
    </w:p>
    <w:p w14:paraId="6CEA4084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Упознаје болесника са могућим нежељеним ефектима аналгетске и друге терапије.</w:t>
      </w:r>
    </w:p>
    <w:p w14:paraId="71B9EF20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Саветује болесника како да спречи појаву нежељених дејстава терапије бола и других симптома.</w:t>
      </w:r>
    </w:p>
    <w:p w14:paraId="0517A37A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Активно помаже и болеснику и лекару током лечења бола и других симптома.</w:t>
      </w:r>
    </w:p>
    <w:p w14:paraId="76E734BE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Превенција опиофобије - правилном едукацијом болесника, као и чланова њихових породица, отклања страхове и заблуде везане за узимање опиоида.</w:t>
      </w:r>
    </w:p>
    <w:p w14:paraId="1EDF4A6C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Спроводи ординирану терапију по налогу лекара.</w:t>
      </w:r>
    </w:p>
    <w:p w14:paraId="7736CC33" w14:textId="77777777" w:rsidR="00C142DC" w:rsidRDefault="0000000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Такође, медицинска сестра врши едукацију пацијената и породице о нежељеним дејствима специфичног онколошког лечења, саветује како да их спречавају и како да се носе са њима уколико се појаве.</w:t>
      </w:r>
    </w:p>
    <w:p w14:paraId="0C44BEDC" w14:textId="77777777" w:rsidR="00C142DC" w:rsidRDefault="00C142DC">
      <w:pPr>
        <w:rPr>
          <w:rFonts w:ascii="Times New Roman" w:hAnsi="Times New Roman"/>
          <w:sz w:val="24"/>
          <w:szCs w:val="24"/>
          <w:lang w:val="ru-RU"/>
        </w:rPr>
      </w:pPr>
    </w:p>
    <w:p w14:paraId="445ABAFD" w14:textId="77777777" w:rsidR="00C142DC" w:rsidRDefault="000000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РЕФЕРЕНЦЕ: </w:t>
      </w:r>
    </w:p>
    <w:p w14:paraId="67C4572C" w14:textId="77777777" w:rsidR="00C142DC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www. ESMO. Org</w:t>
      </w:r>
    </w:p>
    <w:p w14:paraId="725115F6" w14:textId="77777777" w:rsidR="00C142DC" w:rsidRDefault="00C142DC">
      <w:pPr>
        <w:spacing w:after="0"/>
        <w:rPr>
          <w:rFonts w:ascii="Times New Roman" w:hAnsi="Times New Roman"/>
          <w:sz w:val="24"/>
          <w:szCs w:val="24"/>
        </w:rPr>
      </w:pPr>
    </w:p>
    <w:p w14:paraId="2BC47C8C" w14:textId="77777777" w:rsidR="00C142DC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Schrijvers</w:t>
      </w:r>
      <w:proofErr w:type="spellEnd"/>
      <w:r>
        <w:rPr>
          <w:rFonts w:ascii="Times New Roman" w:hAnsi="Times New Roman"/>
          <w:sz w:val="24"/>
          <w:szCs w:val="24"/>
        </w:rPr>
        <w:t xml:space="preserve"> D, Cherny NI; ESMO Guidelines Working Group. ESMO Clinical Practice Guidelines on palliative care: advanced care planning. Ann Oncol. 2014 Sep; 25 Suppl 3: iii138-42. </w:t>
      </w:r>
      <w:proofErr w:type="spellStart"/>
      <w:r>
        <w:rPr>
          <w:rFonts w:ascii="Times New Roman" w:hAnsi="Times New Roman"/>
          <w:sz w:val="24"/>
          <w:szCs w:val="24"/>
        </w:rPr>
        <w:t>doi</w:t>
      </w:r>
      <w:proofErr w:type="spellEnd"/>
      <w:r>
        <w:rPr>
          <w:rFonts w:ascii="Times New Roman" w:hAnsi="Times New Roman"/>
          <w:sz w:val="24"/>
          <w:szCs w:val="24"/>
        </w:rPr>
        <w:t>: 10.1093/</w:t>
      </w:r>
      <w:proofErr w:type="spellStart"/>
      <w:r>
        <w:rPr>
          <w:rFonts w:ascii="Times New Roman" w:hAnsi="Times New Roman"/>
          <w:sz w:val="24"/>
          <w:szCs w:val="24"/>
        </w:rPr>
        <w:t>annonc</w:t>
      </w:r>
      <w:proofErr w:type="spellEnd"/>
      <w:r>
        <w:rPr>
          <w:rFonts w:ascii="Times New Roman" w:hAnsi="Times New Roman"/>
          <w:sz w:val="24"/>
          <w:szCs w:val="24"/>
        </w:rPr>
        <w:t>/mdu241. PMID: 25210082</w:t>
      </w:r>
    </w:p>
    <w:p w14:paraId="2BEADC34" w14:textId="77777777" w:rsidR="00C142DC" w:rsidRDefault="00C142DC">
      <w:pPr>
        <w:spacing w:after="0"/>
        <w:rPr>
          <w:rFonts w:ascii="Times New Roman" w:hAnsi="Times New Roman"/>
          <w:sz w:val="24"/>
          <w:szCs w:val="24"/>
        </w:rPr>
      </w:pPr>
    </w:p>
    <w:p w14:paraId="6C0E8C75" w14:textId="77777777" w:rsidR="00C142DC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Aapro M, Beguin Y, </w:t>
      </w:r>
      <w:proofErr w:type="spellStart"/>
      <w:r>
        <w:rPr>
          <w:rFonts w:ascii="Times New Roman" w:hAnsi="Times New Roman"/>
          <w:sz w:val="24"/>
          <w:szCs w:val="24"/>
        </w:rPr>
        <w:t>Bokemeyer</w:t>
      </w:r>
      <w:proofErr w:type="spellEnd"/>
      <w:r>
        <w:rPr>
          <w:rFonts w:ascii="Times New Roman" w:hAnsi="Times New Roman"/>
          <w:sz w:val="24"/>
          <w:szCs w:val="24"/>
        </w:rPr>
        <w:t xml:space="preserve"> C, Dicato M, Gascón P, Glaspy J, Hofmann A, Link H, Littlewood T, Ludwig H, </w:t>
      </w:r>
      <w:proofErr w:type="spellStart"/>
      <w:r>
        <w:rPr>
          <w:rFonts w:ascii="Times New Roman" w:hAnsi="Times New Roman"/>
          <w:sz w:val="24"/>
          <w:szCs w:val="24"/>
        </w:rPr>
        <w:t>Österborg</w:t>
      </w:r>
      <w:proofErr w:type="spellEnd"/>
      <w:r>
        <w:rPr>
          <w:rFonts w:ascii="Times New Roman" w:hAnsi="Times New Roman"/>
          <w:sz w:val="24"/>
          <w:szCs w:val="24"/>
        </w:rPr>
        <w:t xml:space="preserve"> A, </w:t>
      </w:r>
      <w:proofErr w:type="spellStart"/>
      <w:r>
        <w:rPr>
          <w:rFonts w:ascii="Times New Roman" w:hAnsi="Times New Roman"/>
          <w:sz w:val="24"/>
          <w:szCs w:val="24"/>
        </w:rPr>
        <w:t>Pronzato</w:t>
      </w:r>
      <w:proofErr w:type="spellEnd"/>
      <w:r>
        <w:rPr>
          <w:rFonts w:ascii="Times New Roman" w:hAnsi="Times New Roman"/>
          <w:sz w:val="24"/>
          <w:szCs w:val="24"/>
        </w:rPr>
        <w:t xml:space="preserve"> P, Santini V, </w:t>
      </w:r>
      <w:proofErr w:type="spellStart"/>
      <w:r>
        <w:rPr>
          <w:rFonts w:ascii="Times New Roman" w:hAnsi="Times New Roman"/>
          <w:sz w:val="24"/>
          <w:szCs w:val="24"/>
        </w:rPr>
        <w:t>Schrijvers</w:t>
      </w:r>
      <w:proofErr w:type="spellEnd"/>
      <w:r>
        <w:rPr>
          <w:rFonts w:ascii="Times New Roman" w:hAnsi="Times New Roman"/>
          <w:sz w:val="24"/>
          <w:szCs w:val="24"/>
        </w:rPr>
        <w:t xml:space="preserve"> D, Stauder R, Jordan K, Herrstedt J; ESMO Guidelines Committee. Management of </w:t>
      </w:r>
      <w:proofErr w:type="spellStart"/>
      <w:r>
        <w:rPr>
          <w:rFonts w:ascii="Times New Roman" w:hAnsi="Times New Roman"/>
          <w:sz w:val="24"/>
          <w:szCs w:val="24"/>
        </w:rPr>
        <w:t>anaemia</w:t>
      </w:r>
      <w:proofErr w:type="spellEnd"/>
      <w:r>
        <w:rPr>
          <w:rFonts w:ascii="Times New Roman" w:hAnsi="Times New Roman"/>
          <w:sz w:val="24"/>
          <w:szCs w:val="24"/>
        </w:rPr>
        <w:t xml:space="preserve"> and iron deficiency in patients with cancer: ESMO Clinical Practice Guidelines. Ann Oncol. 2018 Oct 1; 29 (Suppl 4): iv96-iv110. </w:t>
      </w:r>
      <w:proofErr w:type="spellStart"/>
      <w:r>
        <w:rPr>
          <w:rFonts w:ascii="Times New Roman" w:hAnsi="Times New Roman"/>
          <w:sz w:val="24"/>
          <w:szCs w:val="24"/>
        </w:rPr>
        <w:t>doi</w:t>
      </w:r>
      <w:proofErr w:type="spellEnd"/>
      <w:r>
        <w:rPr>
          <w:rFonts w:ascii="Times New Roman" w:hAnsi="Times New Roman"/>
          <w:sz w:val="24"/>
          <w:szCs w:val="24"/>
        </w:rPr>
        <w:t>: 10.1093/</w:t>
      </w:r>
      <w:proofErr w:type="spellStart"/>
      <w:r>
        <w:rPr>
          <w:rFonts w:ascii="Times New Roman" w:hAnsi="Times New Roman"/>
          <w:sz w:val="24"/>
          <w:szCs w:val="24"/>
        </w:rPr>
        <w:t>annonc</w:t>
      </w:r>
      <w:proofErr w:type="spellEnd"/>
      <w:r>
        <w:rPr>
          <w:rFonts w:ascii="Times New Roman" w:hAnsi="Times New Roman"/>
          <w:sz w:val="24"/>
          <w:szCs w:val="24"/>
        </w:rPr>
        <w:t>/mdx758</w:t>
      </w:r>
    </w:p>
    <w:p w14:paraId="052F4EFB" w14:textId="77777777" w:rsidR="00C142DC" w:rsidRDefault="00C142DC">
      <w:pPr>
        <w:spacing w:after="0"/>
        <w:rPr>
          <w:rFonts w:ascii="Times New Roman" w:hAnsi="Times New Roman"/>
          <w:sz w:val="24"/>
          <w:szCs w:val="24"/>
        </w:rPr>
      </w:pPr>
    </w:p>
    <w:p w14:paraId="02F5AB02" w14:textId="77777777" w:rsidR="00C142DC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Grassi L, Caruso R, Riba MB, Lloyd-Williams M, Kissane D, Rodin G, McFarland D, Campos-</w:t>
      </w:r>
      <w:proofErr w:type="spellStart"/>
      <w:r>
        <w:rPr>
          <w:rFonts w:ascii="Times New Roman" w:hAnsi="Times New Roman"/>
          <w:sz w:val="24"/>
          <w:szCs w:val="24"/>
        </w:rPr>
        <w:t>Ródenas</w:t>
      </w:r>
      <w:proofErr w:type="spellEnd"/>
      <w:r>
        <w:rPr>
          <w:rFonts w:ascii="Times New Roman" w:hAnsi="Times New Roman"/>
          <w:sz w:val="24"/>
          <w:szCs w:val="24"/>
        </w:rPr>
        <w:t xml:space="preserve"> R, Zachariae R, Santini D, Ripamonti CI; ESMO Guidelines Committee. Electronic address: clinicalguidelines@esmo.org. Anxiety and depression in adult cancer patients: ESMO Clinical Practice Guideline. ESMO Open. 2023 Apr; 8 (2): 101155</w:t>
      </w:r>
    </w:p>
    <w:p w14:paraId="25AE2B91" w14:textId="77777777" w:rsidR="00C142DC" w:rsidRDefault="00C142DC">
      <w:pPr>
        <w:spacing w:after="0"/>
        <w:rPr>
          <w:rFonts w:ascii="Times New Roman" w:hAnsi="Times New Roman"/>
          <w:sz w:val="24"/>
          <w:szCs w:val="24"/>
        </w:rPr>
      </w:pPr>
    </w:p>
    <w:p w14:paraId="25CA2A3A" w14:textId="77777777" w:rsidR="00C142DC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Arends J, Strasser F, Gonella S, Solheim TS, </w:t>
      </w:r>
      <w:proofErr w:type="spellStart"/>
      <w:r>
        <w:rPr>
          <w:rFonts w:ascii="Times New Roman" w:hAnsi="Times New Roman"/>
          <w:sz w:val="24"/>
          <w:szCs w:val="24"/>
        </w:rPr>
        <w:t>Madeddu</w:t>
      </w:r>
      <w:proofErr w:type="spellEnd"/>
      <w:r>
        <w:rPr>
          <w:rFonts w:ascii="Times New Roman" w:hAnsi="Times New Roman"/>
          <w:sz w:val="24"/>
          <w:szCs w:val="24"/>
        </w:rPr>
        <w:t xml:space="preserve"> C, </w:t>
      </w:r>
      <w:proofErr w:type="spellStart"/>
      <w:r>
        <w:rPr>
          <w:rFonts w:ascii="Times New Roman" w:hAnsi="Times New Roman"/>
          <w:sz w:val="24"/>
          <w:szCs w:val="24"/>
        </w:rPr>
        <w:t>Ravasco</w:t>
      </w:r>
      <w:proofErr w:type="spellEnd"/>
      <w:r>
        <w:rPr>
          <w:rFonts w:ascii="Times New Roman" w:hAnsi="Times New Roman"/>
          <w:sz w:val="24"/>
          <w:szCs w:val="24"/>
        </w:rPr>
        <w:t xml:space="preserve"> P, </w:t>
      </w:r>
      <w:proofErr w:type="spellStart"/>
      <w:r>
        <w:rPr>
          <w:rFonts w:ascii="Times New Roman" w:hAnsi="Times New Roman"/>
          <w:sz w:val="24"/>
          <w:szCs w:val="24"/>
        </w:rPr>
        <w:t>Buonaccorso</w:t>
      </w:r>
      <w:proofErr w:type="spellEnd"/>
      <w:r>
        <w:rPr>
          <w:rFonts w:ascii="Times New Roman" w:hAnsi="Times New Roman"/>
          <w:sz w:val="24"/>
          <w:szCs w:val="24"/>
        </w:rPr>
        <w:t xml:space="preserve"> L, de van der Schueren MAE, Baldwin C, Chasen M, Ripamonti CI; ESMO Guidelines Committee. Electronic address: clinicalguidelines@esmo.org. Cancer cachexia in adult patients: ESMO Clinical Practice Guidelines</w:t>
      </w:r>
      <w:r>
        <w:rPr>
          <w:rFonts w:ascii="Times New Roman" w:eastAsia="MS Gothic" w:hAnsi="MS Gothic"/>
          <w:sz w:val="24"/>
          <w:szCs w:val="24"/>
          <w:vertAlign w:val="superscript"/>
        </w:rPr>
        <w:t>☆</w:t>
      </w:r>
      <w:r>
        <w:rPr>
          <w:rFonts w:ascii="Times New Roman" w:hAnsi="Times New Roman"/>
          <w:sz w:val="24"/>
          <w:szCs w:val="24"/>
        </w:rPr>
        <w:t>. ESMO Open. 2021 Jun; 6 (3): 100092</w:t>
      </w:r>
    </w:p>
    <w:p w14:paraId="57C2C7AA" w14:textId="77777777" w:rsidR="00C142DC" w:rsidRDefault="00C142DC">
      <w:pPr>
        <w:spacing w:after="0"/>
        <w:rPr>
          <w:rFonts w:ascii="Times New Roman" w:hAnsi="Times New Roman"/>
          <w:sz w:val="24"/>
          <w:szCs w:val="24"/>
        </w:rPr>
      </w:pPr>
    </w:p>
    <w:p w14:paraId="6672A15E" w14:textId="77777777" w:rsidR="00C142DC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Fallon M, Giusti R, </w:t>
      </w:r>
      <w:proofErr w:type="spellStart"/>
      <w:r>
        <w:rPr>
          <w:rFonts w:ascii="Times New Roman" w:hAnsi="Times New Roman"/>
          <w:sz w:val="24"/>
          <w:szCs w:val="24"/>
        </w:rPr>
        <w:t>Aielli</w:t>
      </w:r>
      <w:proofErr w:type="spellEnd"/>
      <w:r>
        <w:rPr>
          <w:rFonts w:ascii="Times New Roman" w:hAnsi="Times New Roman"/>
          <w:sz w:val="24"/>
          <w:szCs w:val="24"/>
        </w:rPr>
        <w:t xml:space="preserve"> F, Hoskin P, Rolke R, Sharma M, Ripamonti CI; ESMO Guidelines Committee. Management of cancer pain in adult patients: ESMO Clinical Practice Guidelines. Ann Oncol. 2018 Oct 1; 29 (Suppl 4): iv166-iv191</w:t>
      </w:r>
    </w:p>
    <w:p w14:paraId="56A58078" w14:textId="77777777" w:rsidR="00C142DC" w:rsidRDefault="00C142DC">
      <w:pPr>
        <w:spacing w:after="0"/>
        <w:rPr>
          <w:rFonts w:ascii="Times New Roman" w:hAnsi="Times New Roman"/>
          <w:sz w:val="24"/>
          <w:szCs w:val="24"/>
        </w:rPr>
      </w:pPr>
    </w:p>
    <w:p w14:paraId="263E55F6" w14:textId="77777777" w:rsidR="00C142DC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Crawford GB, </w:t>
      </w:r>
      <w:proofErr w:type="spellStart"/>
      <w:r>
        <w:rPr>
          <w:rFonts w:ascii="Times New Roman" w:hAnsi="Times New Roman"/>
          <w:sz w:val="24"/>
          <w:szCs w:val="24"/>
        </w:rPr>
        <w:t>Dzierżanowski</w:t>
      </w:r>
      <w:proofErr w:type="spellEnd"/>
      <w:r>
        <w:rPr>
          <w:rFonts w:ascii="Times New Roman" w:hAnsi="Times New Roman"/>
          <w:sz w:val="24"/>
          <w:szCs w:val="24"/>
        </w:rPr>
        <w:t xml:space="preserve"> T, Hauser K, Larkin P, Luque-Blanco AI, Murphy I, Puchalski CM, Ripamonti CI; ESMO Guidelines Committee. Electronic address: clinicalguidelines@esmo.org. Care of the adult cancer patient at the end of life: ESMO Clinical Practice Guidelines. ESMO Open. 2021 Aug; 6 (4): 100225</w:t>
      </w:r>
    </w:p>
    <w:p w14:paraId="40747417" w14:textId="77777777" w:rsidR="00C142DC" w:rsidRDefault="00C142DC">
      <w:pPr>
        <w:spacing w:after="0"/>
        <w:rPr>
          <w:rFonts w:ascii="Times New Roman" w:hAnsi="Times New Roman"/>
          <w:sz w:val="24"/>
          <w:szCs w:val="24"/>
        </w:rPr>
      </w:pPr>
    </w:p>
    <w:p w14:paraId="4E967943" w14:textId="77777777" w:rsidR="00C142DC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Marti FM, Cullen MH, </w:t>
      </w:r>
      <w:proofErr w:type="spellStart"/>
      <w:r>
        <w:rPr>
          <w:rFonts w:ascii="Times New Roman" w:hAnsi="Times New Roman"/>
          <w:sz w:val="24"/>
          <w:szCs w:val="24"/>
        </w:rPr>
        <w:t>Roila</w:t>
      </w:r>
      <w:proofErr w:type="spellEnd"/>
      <w:r>
        <w:rPr>
          <w:rFonts w:ascii="Times New Roman" w:hAnsi="Times New Roman"/>
          <w:sz w:val="24"/>
          <w:szCs w:val="24"/>
        </w:rPr>
        <w:t xml:space="preserve"> F; ESMO Guidelines Working Group. Management of febrile neutropenia: ESMO clinical recommendations. Ann Oncol. 2009 May; 20 Suppl 4: 166-9.</w:t>
      </w:r>
    </w:p>
    <w:p w14:paraId="7DB6D02F" w14:textId="77777777" w:rsidR="00C142DC" w:rsidRDefault="00C142DC">
      <w:pPr>
        <w:spacing w:after="0"/>
        <w:rPr>
          <w:rFonts w:ascii="Times New Roman" w:hAnsi="Times New Roman"/>
          <w:sz w:val="24"/>
          <w:szCs w:val="24"/>
        </w:rPr>
      </w:pPr>
    </w:p>
    <w:p w14:paraId="695D9AE6" w14:textId="77777777" w:rsidR="00C142DC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Larkin PJ, Cherny NI, La </w:t>
      </w:r>
      <w:proofErr w:type="spellStart"/>
      <w:r>
        <w:rPr>
          <w:rFonts w:ascii="Times New Roman" w:hAnsi="Times New Roman"/>
          <w:sz w:val="24"/>
          <w:szCs w:val="24"/>
        </w:rPr>
        <w:t>Carpia</w:t>
      </w:r>
      <w:proofErr w:type="spellEnd"/>
      <w:r>
        <w:rPr>
          <w:rFonts w:ascii="Times New Roman" w:hAnsi="Times New Roman"/>
          <w:sz w:val="24"/>
          <w:szCs w:val="24"/>
        </w:rPr>
        <w:t xml:space="preserve"> D, Guglielmo M, </w:t>
      </w:r>
      <w:proofErr w:type="spellStart"/>
      <w:r>
        <w:rPr>
          <w:rFonts w:ascii="Times New Roman" w:hAnsi="Times New Roman"/>
          <w:sz w:val="24"/>
          <w:szCs w:val="24"/>
        </w:rPr>
        <w:t>Ostgathe</w:t>
      </w:r>
      <w:proofErr w:type="spellEnd"/>
      <w:r>
        <w:rPr>
          <w:rFonts w:ascii="Times New Roman" w:hAnsi="Times New Roman"/>
          <w:sz w:val="24"/>
          <w:szCs w:val="24"/>
        </w:rPr>
        <w:t xml:space="preserve"> C, </w:t>
      </w:r>
      <w:proofErr w:type="spellStart"/>
      <w:r>
        <w:rPr>
          <w:rFonts w:ascii="Times New Roman" w:hAnsi="Times New Roman"/>
          <w:sz w:val="24"/>
          <w:szCs w:val="24"/>
        </w:rPr>
        <w:t>Scotté</w:t>
      </w:r>
      <w:proofErr w:type="spellEnd"/>
      <w:r>
        <w:rPr>
          <w:rFonts w:ascii="Times New Roman" w:hAnsi="Times New Roman"/>
          <w:sz w:val="24"/>
          <w:szCs w:val="24"/>
        </w:rPr>
        <w:t xml:space="preserve"> F, Ripamonti CI; ESMO Guidelines Committee. Diagnosis, assessment and management of constipation in advanced cancer: ESMO Clinical Practice Guidelines. Ann Oncol. 2018 Oct 1; 29 (Suppl 4): iv111-iv125</w:t>
      </w:r>
    </w:p>
    <w:p w14:paraId="470C6543" w14:textId="77777777" w:rsidR="00C142DC" w:rsidRDefault="00C142DC">
      <w:pPr>
        <w:spacing w:after="0"/>
        <w:rPr>
          <w:rFonts w:ascii="Times New Roman" w:hAnsi="Times New Roman"/>
          <w:sz w:val="24"/>
          <w:szCs w:val="24"/>
        </w:rPr>
      </w:pPr>
    </w:p>
    <w:p w14:paraId="419590E8" w14:textId="77777777" w:rsidR="00C142DC" w:rsidRDefault="000000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10. Bush SH, Lawlor PG, Ryan K, Centeno C, Lucchesi M, Kanji S, Siddiqi N, Morandi A, Davis DHJ, Laurent M, Schofield N, </w:t>
      </w:r>
      <w:proofErr w:type="spellStart"/>
      <w:r>
        <w:rPr>
          <w:rFonts w:ascii="Times New Roman" w:hAnsi="Times New Roman"/>
          <w:sz w:val="24"/>
          <w:szCs w:val="24"/>
        </w:rPr>
        <w:t>Barallat</w:t>
      </w:r>
      <w:proofErr w:type="spellEnd"/>
      <w:r>
        <w:rPr>
          <w:rFonts w:ascii="Times New Roman" w:hAnsi="Times New Roman"/>
          <w:sz w:val="24"/>
          <w:szCs w:val="24"/>
        </w:rPr>
        <w:t xml:space="preserve"> E, Ripamonti CI; ESMO Guidelines Committee. Delirium in adult cancer patients: ESMO Clinical Practice Guidelines. Ann Oncol. 2018 Oct 1; 29 (Suppl 4): iv143-iv165.</w:t>
      </w:r>
    </w:p>
    <w:p w14:paraId="21E4FEC2" w14:textId="77777777" w:rsidR="00C142DC" w:rsidRDefault="00C142DC">
      <w:pPr>
        <w:spacing w:after="0"/>
        <w:rPr>
          <w:rFonts w:ascii="Times New Roman" w:hAnsi="Times New Roman"/>
          <w:sz w:val="24"/>
          <w:szCs w:val="24"/>
        </w:rPr>
      </w:pPr>
    </w:p>
    <w:p w14:paraId="690E1039" w14:textId="77777777" w:rsidR="00C142DC" w:rsidRDefault="00000000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11. Bossi P, </w:t>
      </w:r>
      <w:proofErr w:type="spellStart"/>
      <w:r>
        <w:rPr>
          <w:rFonts w:ascii="Times New Roman" w:hAnsi="Times New Roman"/>
          <w:sz w:val="24"/>
          <w:szCs w:val="24"/>
        </w:rPr>
        <w:t>Antonuzzo</w:t>
      </w:r>
      <w:proofErr w:type="spellEnd"/>
      <w:r>
        <w:rPr>
          <w:rFonts w:ascii="Times New Roman" w:hAnsi="Times New Roman"/>
          <w:sz w:val="24"/>
          <w:szCs w:val="24"/>
        </w:rPr>
        <w:t xml:space="preserve"> A, Cherny NI, Rosengarten O, Pernot S, </w:t>
      </w:r>
      <w:proofErr w:type="spellStart"/>
      <w:r>
        <w:rPr>
          <w:rFonts w:ascii="Times New Roman" w:hAnsi="Times New Roman"/>
          <w:sz w:val="24"/>
          <w:szCs w:val="24"/>
        </w:rPr>
        <w:t>Trippa</w:t>
      </w:r>
      <w:proofErr w:type="spellEnd"/>
      <w:r>
        <w:rPr>
          <w:rFonts w:ascii="Times New Roman" w:hAnsi="Times New Roman"/>
          <w:sz w:val="24"/>
          <w:szCs w:val="24"/>
        </w:rPr>
        <w:t xml:space="preserve"> F, Schuler U, </w:t>
      </w:r>
      <w:proofErr w:type="spellStart"/>
      <w:r>
        <w:rPr>
          <w:rFonts w:ascii="Times New Roman" w:hAnsi="Times New Roman"/>
          <w:sz w:val="24"/>
          <w:szCs w:val="24"/>
        </w:rPr>
        <w:t>Snegovoy</w:t>
      </w:r>
      <w:proofErr w:type="spellEnd"/>
      <w:r>
        <w:rPr>
          <w:rFonts w:ascii="Times New Roman" w:hAnsi="Times New Roman"/>
          <w:sz w:val="24"/>
          <w:szCs w:val="24"/>
        </w:rPr>
        <w:t xml:space="preserve"> A, Jordan K, Ripamonti CI; ESMO Guidelines Committee. </w:t>
      </w:r>
      <w:proofErr w:type="spellStart"/>
      <w:r>
        <w:rPr>
          <w:rFonts w:ascii="Times New Roman" w:hAnsi="Times New Roman"/>
          <w:sz w:val="24"/>
          <w:szCs w:val="24"/>
        </w:rPr>
        <w:t>Diarrhoea</w:t>
      </w:r>
      <w:proofErr w:type="spellEnd"/>
      <w:r>
        <w:rPr>
          <w:rFonts w:ascii="Times New Roman" w:hAnsi="Times New Roman"/>
          <w:sz w:val="24"/>
          <w:szCs w:val="24"/>
        </w:rPr>
        <w:t xml:space="preserve"> in adult cancer patients: ESMO Clinical Practice Guidelines. Ann Oncol. 2018 Oct 1; 29 (Suppl 4): iv126-iv142</w:t>
      </w:r>
    </w:p>
    <w:p w14:paraId="5B9139F1" w14:textId="77777777" w:rsidR="00C142DC" w:rsidRDefault="00C142DC">
      <w:pPr>
        <w:rPr>
          <w:rFonts w:ascii="Times New Roman" w:hAnsi="Times New Roman"/>
          <w:sz w:val="24"/>
          <w:szCs w:val="24"/>
        </w:rPr>
      </w:pPr>
    </w:p>
    <w:p w14:paraId="6D68A738" w14:textId="77777777" w:rsidR="00C142DC" w:rsidRDefault="00C142DC">
      <w:pPr>
        <w:rPr>
          <w:rFonts w:ascii="Times New Roman" w:hAnsi="Times New Roman"/>
          <w:sz w:val="24"/>
          <w:szCs w:val="24"/>
        </w:rPr>
      </w:pPr>
    </w:p>
    <w:p w14:paraId="62E3F2EC" w14:textId="77777777" w:rsidR="00C142DC" w:rsidRDefault="00C142DC">
      <w:pPr>
        <w:rPr>
          <w:rFonts w:ascii="Times New Roman" w:hAnsi="Times New Roman"/>
          <w:sz w:val="24"/>
          <w:szCs w:val="24"/>
        </w:rPr>
      </w:pPr>
    </w:p>
    <w:p w14:paraId="5DEB3102" w14:textId="77777777" w:rsidR="00C142DC" w:rsidRDefault="00C142DC">
      <w:pPr>
        <w:rPr>
          <w:rFonts w:ascii="Times New Roman" w:hAnsi="Times New Roman"/>
        </w:rPr>
      </w:pPr>
    </w:p>
    <w:p w14:paraId="22C3FB6F" w14:textId="77777777" w:rsidR="00C142DC" w:rsidRDefault="00C142DC">
      <w:pPr>
        <w:rPr>
          <w:rFonts w:ascii="Times New Roman" w:hAnsi="Times New Roman"/>
        </w:rPr>
      </w:pPr>
    </w:p>
    <w:p w14:paraId="5391A5C4" w14:textId="77777777" w:rsidR="00C142DC" w:rsidRDefault="00C142DC">
      <w:pPr>
        <w:rPr>
          <w:rFonts w:ascii="Times New Roman" w:hAnsi="Times New Roman"/>
        </w:rPr>
      </w:pPr>
    </w:p>
    <w:p w14:paraId="1591453E" w14:textId="77777777" w:rsidR="00C142DC" w:rsidRDefault="00C142DC">
      <w:pPr>
        <w:rPr>
          <w:rFonts w:ascii="Times New Roman" w:hAnsi="Times New Roman"/>
        </w:rPr>
      </w:pPr>
    </w:p>
    <w:p w14:paraId="011A2ABA" w14:textId="77777777" w:rsidR="00C142DC" w:rsidRDefault="00C142DC">
      <w:pPr>
        <w:rPr>
          <w:rFonts w:ascii="Times New Roman" w:hAnsi="Times New Roman"/>
        </w:rPr>
      </w:pPr>
    </w:p>
    <w:p w14:paraId="63E5D4D2" w14:textId="77777777" w:rsidR="00C142DC" w:rsidRDefault="00C142DC">
      <w:pPr>
        <w:rPr>
          <w:rFonts w:ascii="Times New Roman" w:hAnsi="Times New Roman"/>
        </w:rPr>
      </w:pPr>
    </w:p>
    <w:p w14:paraId="03225F6D" w14:textId="77777777" w:rsidR="00C142DC" w:rsidRDefault="00C142DC">
      <w:pPr>
        <w:rPr>
          <w:rFonts w:ascii="Times New Roman" w:hAnsi="Times New Roman"/>
        </w:rPr>
      </w:pPr>
    </w:p>
    <w:p w14:paraId="58B37D16" w14:textId="77777777" w:rsidR="00C142DC" w:rsidRDefault="00C142DC">
      <w:pPr>
        <w:rPr>
          <w:rFonts w:ascii="Times New Roman" w:hAnsi="Times New Roman"/>
        </w:rPr>
      </w:pPr>
    </w:p>
    <w:p w14:paraId="78D2A070" w14:textId="77777777" w:rsidR="00C142DC" w:rsidRDefault="00C142DC">
      <w:pPr>
        <w:rPr>
          <w:rFonts w:ascii="Times New Roman" w:hAnsi="Times New Roman"/>
        </w:rPr>
      </w:pPr>
    </w:p>
    <w:p w14:paraId="4361EBAA" w14:textId="77777777" w:rsidR="00C142DC" w:rsidRDefault="00C142DC">
      <w:pPr>
        <w:rPr>
          <w:rFonts w:ascii="Times New Roman" w:hAnsi="Times New Roman"/>
        </w:rPr>
      </w:pPr>
    </w:p>
    <w:sectPr w:rsidR="00C142DC">
      <w:headerReference w:type="default" r:id="rId12"/>
      <w:footerReference w:type="first" r:id="rId13"/>
      <w:pgSz w:w="11907" w:h="16839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55E6" w14:textId="77777777" w:rsidR="00CF4AD5" w:rsidRDefault="00CF4AD5">
      <w:pPr>
        <w:spacing w:line="240" w:lineRule="auto"/>
      </w:pPr>
      <w:r>
        <w:separator/>
      </w:r>
    </w:p>
  </w:endnote>
  <w:endnote w:type="continuationSeparator" w:id="0">
    <w:p w14:paraId="08329ED4" w14:textId="77777777" w:rsidR="00CF4AD5" w:rsidRDefault="00CF4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246D" w14:textId="77777777" w:rsidR="00C142DC" w:rsidRDefault="00C142DC">
    <w:pPr>
      <w:pStyle w:val="Footer"/>
    </w:pPr>
  </w:p>
  <w:p w14:paraId="76923499" w14:textId="77777777" w:rsidR="00C142DC" w:rsidRDefault="00C14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F56A" w14:textId="77777777" w:rsidR="00CF4AD5" w:rsidRDefault="00CF4AD5">
      <w:pPr>
        <w:spacing w:after="0"/>
      </w:pPr>
      <w:r>
        <w:separator/>
      </w:r>
    </w:p>
  </w:footnote>
  <w:footnote w:type="continuationSeparator" w:id="0">
    <w:p w14:paraId="766E8E8F" w14:textId="77777777" w:rsidR="00CF4AD5" w:rsidRDefault="00CF4A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2160"/>
      <w:gridCol w:w="2658"/>
      <w:gridCol w:w="2652"/>
      <w:gridCol w:w="1602"/>
    </w:tblGrid>
    <w:tr w:rsidR="00C142DC" w14:paraId="3CB25540" w14:textId="77777777">
      <w:tc>
        <w:tcPr>
          <w:tcW w:w="2160" w:type="dxa"/>
          <w:vMerge w:val="restart"/>
          <w:tcBorders>
            <w:top w:val="double" w:sz="6" w:space="0" w:color="auto"/>
            <w:left w:val="double" w:sz="6" w:space="0" w:color="auto"/>
          </w:tcBorders>
        </w:tcPr>
        <w:p w14:paraId="4420C859" w14:textId="77777777" w:rsidR="00C142DC" w:rsidRDefault="00000000">
          <w:pPr>
            <w:spacing w:after="120" w:line="240" w:lineRule="auto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noProof/>
              <w:sz w:val="20"/>
            </w:rPr>
            <w:drawing>
              <wp:anchor distT="0" distB="0" distL="114300" distR="114300" simplePos="0" relativeHeight="251706880" behindDoc="1" locked="0" layoutInCell="1" allowOverlap="0" wp14:anchorId="340204A4" wp14:editId="4C78DA13">
                <wp:simplePos x="0" y="0"/>
                <wp:positionH relativeFrom="margin">
                  <wp:posOffset>344170</wp:posOffset>
                </wp:positionH>
                <wp:positionV relativeFrom="margin">
                  <wp:posOffset>93345</wp:posOffset>
                </wp:positionV>
                <wp:extent cx="504825" cy="450850"/>
                <wp:effectExtent l="19050" t="0" r="9525" b="0"/>
                <wp:wrapTight wrapText="bothSides">
                  <wp:wrapPolygon edited="0">
                    <wp:start x="-815" y="0"/>
                    <wp:lineTo x="-815" y="20992"/>
                    <wp:lineTo x="22008" y="20992"/>
                    <wp:lineTo x="22008" y="0"/>
                    <wp:lineTo x="-815" y="0"/>
                  </wp:wrapPolygon>
                </wp:wrapTight>
                <wp:docPr id="1" name="Picture 1" descr="LOGO PR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 PRO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3733" t="7086" r="33449" b="441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b/>
              <w:sz w:val="20"/>
            </w:rPr>
            <w:t>ИНСТИТУТ ЗА ОНКОЛОГИЈУ                    И РАДИОЛОГИЈУ СРБИЈЕ</w:t>
          </w:r>
        </w:p>
      </w:tc>
      <w:tc>
        <w:tcPr>
          <w:tcW w:w="5310" w:type="dxa"/>
          <w:gridSpan w:val="2"/>
          <w:tcBorders>
            <w:top w:val="double" w:sz="6" w:space="0" w:color="auto"/>
          </w:tcBorders>
        </w:tcPr>
        <w:p w14:paraId="38B2CA16" w14:textId="77777777" w:rsidR="00C142DC" w:rsidRDefault="00000000">
          <w:pPr>
            <w:spacing w:before="60"/>
            <w:rPr>
              <w:rFonts w:ascii="Times New Roman" w:hAnsi="Times New Roman"/>
              <w:sz w:val="20"/>
              <w:lang w:val="ru-RU"/>
            </w:rPr>
          </w:pPr>
          <w:r>
            <w:rPr>
              <w:rFonts w:ascii="Times New Roman" w:hAnsi="Times New Roman"/>
              <w:sz w:val="20"/>
              <w:lang w:val="ru-RU"/>
            </w:rPr>
            <w:t>Назив процедуре:</w:t>
          </w:r>
        </w:p>
        <w:p w14:paraId="3DFF79F8" w14:textId="4E9EA1A9" w:rsidR="00AC1ADA" w:rsidRDefault="00AC1ADA" w:rsidP="00AC1ADA">
          <w:pPr>
            <w:spacing w:before="60"/>
            <w:rPr>
              <w:rFonts w:ascii="Times New Roman" w:hAnsi="Times New Roman"/>
              <w:b/>
              <w:sz w:val="20"/>
              <w:szCs w:val="20"/>
              <w:lang w:val="ru-RU"/>
            </w:rPr>
          </w:pPr>
          <w:r>
            <w:rPr>
              <w:rFonts w:ascii="Times New Roman" w:hAnsi="Times New Roman"/>
              <w:b/>
              <w:sz w:val="20"/>
              <w:szCs w:val="20"/>
              <w:lang w:val="ru-RU"/>
            </w:rPr>
            <w:t>Процедура организације рада мобилног тима за супортивну онкологију и амбуланте за супортивну онкологију и палијативно збрињавање</w:t>
          </w:r>
        </w:p>
      </w:tc>
      <w:tc>
        <w:tcPr>
          <w:tcW w:w="1602" w:type="dxa"/>
          <w:tcBorders>
            <w:top w:val="double" w:sz="6" w:space="0" w:color="auto"/>
            <w:right w:val="double" w:sz="6" w:space="0" w:color="auto"/>
          </w:tcBorders>
        </w:tcPr>
        <w:p w14:paraId="0CF6FFFB" w14:textId="77777777" w:rsidR="00C142DC" w:rsidRDefault="00000000">
          <w:pPr>
            <w:spacing w:before="60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Ознака</w:t>
          </w:r>
          <w:proofErr w:type="spellEnd"/>
          <w:r>
            <w:rPr>
              <w:rFonts w:ascii="Times New Roman" w:hAnsi="Times New Roman"/>
              <w:sz w:val="20"/>
            </w:rPr>
            <w:t xml:space="preserve">: </w:t>
          </w:r>
        </w:p>
        <w:p w14:paraId="7AC6EE56" w14:textId="77777777" w:rsidR="00C142DC" w:rsidRDefault="00000000">
          <w:pPr>
            <w:spacing w:before="60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П.КИО.20</w:t>
          </w:r>
        </w:p>
      </w:tc>
    </w:tr>
    <w:tr w:rsidR="00C142DC" w14:paraId="75E6BBA7" w14:textId="77777777">
      <w:tc>
        <w:tcPr>
          <w:tcW w:w="2160" w:type="dxa"/>
          <w:vMerge/>
          <w:tcBorders>
            <w:left w:val="double" w:sz="6" w:space="0" w:color="auto"/>
            <w:bottom w:val="double" w:sz="6" w:space="0" w:color="auto"/>
          </w:tcBorders>
        </w:tcPr>
        <w:p w14:paraId="207D4368" w14:textId="77777777" w:rsidR="00C142DC" w:rsidRDefault="00C142DC">
          <w:pPr>
            <w:shd w:val="solid" w:color="auto" w:fill="auto"/>
            <w:rPr>
              <w:rFonts w:ascii="Times New Roman" w:hAnsi="Times New Roman"/>
              <w:sz w:val="20"/>
            </w:rPr>
          </w:pPr>
        </w:p>
      </w:tc>
      <w:tc>
        <w:tcPr>
          <w:tcW w:w="2658" w:type="dxa"/>
          <w:tcBorders>
            <w:bottom w:val="double" w:sz="6" w:space="0" w:color="auto"/>
          </w:tcBorders>
        </w:tcPr>
        <w:p w14:paraId="008FA761" w14:textId="265B214A" w:rsidR="00C142DC" w:rsidRDefault="00000000">
          <w:pPr>
            <w:spacing w:before="60" w:after="120" w:line="240" w:lineRule="auto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Датум</w:t>
          </w:r>
          <w:proofErr w:type="spellEnd"/>
          <w:r>
            <w:rPr>
              <w:rFonts w:ascii="Times New Roman" w:hAnsi="Times New Roman"/>
              <w:sz w:val="20"/>
            </w:rPr>
            <w:t xml:space="preserve">: </w:t>
          </w:r>
          <w:r w:rsidR="00AC1ADA">
            <w:rPr>
              <w:rFonts w:ascii="Times New Roman" w:hAnsi="Times New Roman"/>
              <w:sz w:val="20"/>
              <w:szCs w:val="20"/>
              <w:lang w:val="sr-Cyrl-RS"/>
            </w:rPr>
            <w:t>05</w:t>
          </w:r>
          <w:r>
            <w:rPr>
              <w:rFonts w:ascii="Times New Roman" w:hAnsi="Times New Roman"/>
              <w:sz w:val="20"/>
              <w:szCs w:val="20"/>
            </w:rPr>
            <w:t>.0</w:t>
          </w:r>
          <w:r w:rsidR="00AC1ADA">
            <w:rPr>
              <w:rFonts w:ascii="Times New Roman" w:hAnsi="Times New Roman"/>
              <w:sz w:val="20"/>
              <w:szCs w:val="20"/>
              <w:lang w:val="sr-Cyrl-RS"/>
            </w:rPr>
            <w:t>6</w:t>
          </w:r>
          <w:r>
            <w:rPr>
              <w:rFonts w:ascii="Times New Roman" w:hAnsi="Times New Roman"/>
              <w:sz w:val="20"/>
              <w:szCs w:val="20"/>
            </w:rPr>
            <w:t>.202</w:t>
          </w:r>
          <w:r w:rsidR="00AC1ADA">
            <w:rPr>
              <w:rFonts w:ascii="Times New Roman" w:hAnsi="Times New Roman"/>
              <w:sz w:val="20"/>
              <w:szCs w:val="20"/>
              <w:lang w:val="sr-Cyrl-RS"/>
            </w:rPr>
            <w:t>6</w:t>
          </w:r>
          <w:r>
            <w:rPr>
              <w:rFonts w:ascii="Times New Roman" w:hAnsi="Times New Roman"/>
              <w:sz w:val="24"/>
              <w:szCs w:val="24"/>
            </w:rPr>
            <w:t>.</w:t>
          </w:r>
        </w:p>
      </w:tc>
      <w:tc>
        <w:tcPr>
          <w:tcW w:w="2652" w:type="dxa"/>
          <w:tcBorders>
            <w:bottom w:val="double" w:sz="6" w:space="0" w:color="auto"/>
          </w:tcBorders>
        </w:tcPr>
        <w:p w14:paraId="2214E95D" w14:textId="69EA3F45" w:rsidR="00C142DC" w:rsidRPr="00AC1ADA" w:rsidRDefault="00000000">
          <w:pPr>
            <w:spacing w:before="60" w:after="120" w:line="240" w:lineRule="auto"/>
            <w:rPr>
              <w:rFonts w:ascii="Times New Roman" w:hAnsi="Times New Roman"/>
              <w:sz w:val="20"/>
              <w:lang w:val="sr-Cyrl-RS"/>
            </w:rPr>
          </w:pPr>
          <w:proofErr w:type="spellStart"/>
          <w:r>
            <w:rPr>
              <w:rFonts w:ascii="Times New Roman" w:hAnsi="Times New Roman"/>
              <w:sz w:val="20"/>
            </w:rPr>
            <w:t>Верзија</w:t>
          </w:r>
          <w:proofErr w:type="spellEnd"/>
          <w:r>
            <w:rPr>
              <w:rFonts w:ascii="Times New Roman" w:hAnsi="Times New Roman"/>
              <w:sz w:val="20"/>
            </w:rPr>
            <w:t>:  0</w:t>
          </w:r>
          <w:r w:rsidR="00AC1ADA">
            <w:rPr>
              <w:rFonts w:ascii="Times New Roman" w:hAnsi="Times New Roman"/>
              <w:sz w:val="20"/>
              <w:lang w:val="sr-Cyrl-RS"/>
            </w:rPr>
            <w:t>2</w:t>
          </w:r>
        </w:p>
      </w:tc>
      <w:tc>
        <w:tcPr>
          <w:tcW w:w="1602" w:type="dxa"/>
          <w:tcBorders>
            <w:bottom w:val="double" w:sz="6" w:space="0" w:color="auto"/>
            <w:right w:val="double" w:sz="6" w:space="0" w:color="auto"/>
          </w:tcBorders>
        </w:tcPr>
        <w:p w14:paraId="17496650" w14:textId="77777777" w:rsidR="00C142DC" w:rsidRDefault="00000000">
          <w:pPr>
            <w:spacing w:before="60" w:after="120" w:line="240" w:lineRule="auto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Страна</w:t>
          </w:r>
          <w:proofErr w:type="spellEnd"/>
          <w:r>
            <w:rPr>
              <w:rFonts w:ascii="Times New Roman" w:hAnsi="Times New Roman"/>
              <w:sz w:val="20"/>
            </w:rPr>
            <w:t xml:space="preserve">: </w:t>
          </w:r>
          <w:r>
            <w:rPr>
              <w:rStyle w:val="PageNumber"/>
              <w:rFonts w:ascii="Times New Roman" w:hAnsi="Times New Roman"/>
              <w:sz w:val="20"/>
            </w:rPr>
            <w:fldChar w:fldCharType="begin"/>
          </w:r>
          <w:r>
            <w:rPr>
              <w:rStyle w:val="PageNumber"/>
              <w:rFonts w:ascii="Times New Roman" w:hAnsi="Times New Roman"/>
              <w:sz w:val="20"/>
            </w:rPr>
            <w:instrText xml:space="preserve"> PAGE  </w:instrText>
          </w:r>
          <w:r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sz w:val="20"/>
            </w:rPr>
            <w:t>3</w:t>
          </w:r>
          <w:r>
            <w:rPr>
              <w:rStyle w:val="PageNumber"/>
              <w:rFonts w:ascii="Times New Roman" w:hAnsi="Times New Roman"/>
              <w:sz w:val="20"/>
            </w:rPr>
            <w:fldChar w:fldCharType="end"/>
          </w:r>
          <w:r>
            <w:rPr>
              <w:rStyle w:val="PageNumber"/>
              <w:rFonts w:ascii="Times New Roman" w:hAnsi="Times New Roman"/>
              <w:sz w:val="20"/>
            </w:rPr>
            <w:t xml:space="preserve"> </w:t>
          </w:r>
          <w:proofErr w:type="spellStart"/>
          <w:r>
            <w:rPr>
              <w:rFonts w:ascii="Times New Roman" w:hAnsi="Times New Roman"/>
              <w:sz w:val="20"/>
            </w:rPr>
            <w:t>од</w:t>
          </w:r>
          <w:proofErr w:type="spellEnd"/>
          <w:r>
            <w:rPr>
              <w:rFonts w:ascii="Times New Roman" w:hAnsi="Times New Roman"/>
              <w:sz w:val="20"/>
            </w:rPr>
            <w:t xml:space="preserve"> 7</w:t>
          </w:r>
        </w:p>
      </w:tc>
    </w:tr>
  </w:tbl>
  <w:p w14:paraId="2FB9DAC9" w14:textId="77777777" w:rsidR="00C142DC" w:rsidRDefault="00C142DC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141CB"/>
    <w:multiLevelType w:val="multilevel"/>
    <w:tmpl w:val="2BC141C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54CC"/>
    <w:multiLevelType w:val="multilevel"/>
    <w:tmpl w:val="3CB954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3D6678E"/>
    <w:multiLevelType w:val="multilevel"/>
    <w:tmpl w:val="63D667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64360">
    <w:abstractNumId w:val="1"/>
  </w:num>
  <w:num w:numId="2" w16cid:durableId="310672612">
    <w:abstractNumId w:val="0"/>
  </w:num>
  <w:num w:numId="3" w16cid:durableId="1958412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B87"/>
    <w:rsid w:val="000144AA"/>
    <w:rsid w:val="000329DA"/>
    <w:rsid w:val="00042168"/>
    <w:rsid w:val="00063777"/>
    <w:rsid w:val="00073E16"/>
    <w:rsid w:val="000A1040"/>
    <w:rsid w:val="000C5D55"/>
    <w:rsid w:val="000E2F27"/>
    <w:rsid w:val="00156C19"/>
    <w:rsid w:val="00161FA9"/>
    <w:rsid w:val="00194654"/>
    <w:rsid w:val="00194F21"/>
    <w:rsid w:val="00195FEF"/>
    <w:rsid w:val="001A4B82"/>
    <w:rsid w:val="001D3A6C"/>
    <w:rsid w:val="00206F9D"/>
    <w:rsid w:val="00235221"/>
    <w:rsid w:val="002403B7"/>
    <w:rsid w:val="002A3B87"/>
    <w:rsid w:val="002B2AA9"/>
    <w:rsid w:val="002B6F12"/>
    <w:rsid w:val="002C164B"/>
    <w:rsid w:val="002C1CB8"/>
    <w:rsid w:val="002F4DE8"/>
    <w:rsid w:val="00303B5F"/>
    <w:rsid w:val="00311C4C"/>
    <w:rsid w:val="00317270"/>
    <w:rsid w:val="00336358"/>
    <w:rsid w:val="00360449"/>
    <w:rsid w:val="003631ED"/>
    <w:rsid w:val="00377B8A"/>
    <w:rsid w:val="003C069A"/>
    <w:rsid w:val="003F7535"/>
    <w:rsid w:val="0040283C"/>
    <w:rsid w:val="00406D9A"/>
    <w:rsid w:val="00410B0F"/>
    <w:rsid w:val="00475398"/>
    <w:rsid w:val="00476D59"/>
    <w:rsid w:val="00490B95"/>
    <w:rsid w:val="0054017D"/>
    <w:rsid w:val="0055466B"/>
    <w:rsid w:val="00567C69"/>
    <w:rsid w:val="00585F09"/>
    <w:rsid w:val="005A3911"/>
    <w:rsid w:val="005C316B"/>
    <w:rsid w:val="005D1B45"/>
    <w:rsid w:val="005D7270"/>
    <w:rsid w:val="005E0040"/>
    <w:rsid w:val="005E191F"/>
    <w:rsid w:val="005F32B8"/>
    <w:rsid w:val="00606284"/>
    <w:rsid w:val="006074A0"/>
    <w:rsid w:val="0061677C"/>
    <w:rsid w:val="0062104A"/>
    <w:rsid w:val="00632485"/>
    <w:rsid w:val="00633EB0"/>
    <w:rsid w:val="00635E19"/>
    <w:rsid w:val="00645751"/>
    <w:rsid w:val="00646536"/>
    <w:rsid w:val="0068044A"/>
    <w:rsid w:val="00693ADE"/>
    <w:rsid w:val="006A6CC3"/>
    <w:rsid w:val="006D078B"/>
    <w:rsid w:val="006D3114"/>
    <w:rsid w:val="006E7453"/>
    <w:rsid w:val="006F4687"/>
    <w:rsid w:val="00723CCD"/>
    <w:rsid w:val="00742F6D"/>
    <w:rsid w:val="007502C1"/>
    <w:rsid w:val="00751EFC"/>
    <w:rsid w:val="007802AB"/>
    <w:rsid w:val="00790E76"/>
    <w:rsid w:val="007C1D66"/>
    <w:rsid w:val="007C62F3"/>
    <w:rsid w:val="0080582A"/>
    <w:rsid w:val="0082773D"/>
    <w:rsid w:val="00850B24"/>
    <w:rsid w:val="008825D9"/>
    <w:rsid w:val="00887A82"/>
    <w:rsid w:val="00891F5E"/>
    <w:rsid w:val="008C16FD"/>
    <w:rsid w:val="008D0C17"/>
    <w:rsid w:val="008D4431"/>
    <w:rsid w:val="008D73B8"/>
    <w:rsid w:val="00950F6C"/>
    <w:rsid w:val="009613B1"/>
    <w:rsid w:val="009726D6"/>
    <w:rsid w:val="0097640A"/>
    <w:rsid w:val="00976CDD"/>
    <w:rsid w:val="009952E3"/>
    <w:rsid w:val="00995EB4"/>
    <w:rsid w:val="009B2187"/>
    <w:rsid w:val="009B40DD"/>
    <w:rsid w:val="00A53D95"/>
    <w:rsid w:val="00A66886"/>
    <w:rsid w:val="00A965DF"/>
    <w:rsid w:val="00AC1ADA"/>
    <w:rsid w:val="00AD0D9F"/>
    <w:rsid w:val="00AE689A"/>
    <w:rsid w:val="00B10118"/>
    <w:rsid w:val="00B56E06"/>
    <w:rsid w:val="00B75AB9"/>
    <w:rsid w:val="00B925E8"/>
    <w:rsid w:val="00B95746"/>
    <w:rsid w:val="00BA5B6A"/>
    <w:rsid w:val="00BA5C08"/>
    <w:rsid w:val="00BC43C9"/>
    <w:rsid w:val="00BE4EB9"/>
    <w:rsid w:val="00C129AD"/>
    <w:rsid w:val="00C1402A"/>
    <w:rsid w:val="00C142DC"/>
    <w:rsid w:val="00C22BC2"/>
    <w:rsid w:val="00C34679"/>
    <w:rsid w:val="00C47655"/>
    <w:rsid w:val="00C726F5"/>
    <w:rsid w:val="00C95AF5"/>
    <w:rsid w:val="00CA5CB6"/>
    <w:rsid w:val="00CD3D48"/>
    <w:rsid w:val="00CE7A25"/>
    <w:rsid w:val="00CF4AD5"/>
    <w:rsid w:val="00CF7986"/>
    <w:rsid w:val="00D97491"/>
    <w:rsid w:val="00DF1E9D"/>
    <w:rsid w:val="00DF22CA"/>
    <w:rsid w:val="00E07743"/>
    <w:rsid w:val="00E447EC"/>
    <w:rsid w:val="00E65554"/>
    <w:rsid w:val="00EC4883"/>
    <w:rsid w:val="00ED175A"/>
    <w:rsid w:val="00EF2D1A"/>
    <w:rsid w:val="00EF5D53"/>
    <w:rsid w:val="00EF712A"/>
    <w:rsid w:val="00F03D77"/>
    <w:rsid w:val="00F51971"/>
    <w:rsid w:val="00F85C08"/>
    <w:rsid w:val="00F85EE2"/>
    <w:rsid w:val="00FB39A0"/>
    <w:rsid w:val="00FB48AA"/>
    <w:rsid w:val="00FC6809"/>
    <w:rsid w:val="00FF2727"/>
    <w:rsid w:val="7B0C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  <w14:docId w14:val="1B8F60D7"/>
  <w15:docId w15:val="{94F3AB68-BEF4-49B7-9E29-8D460F23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NaslovProcedure">
    <w:name w:val="Naslov Procedure"/>
    <w:basedOn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RomanBold" w:eastAsia="Times New Roman" w:hAnsi="TimesRomanBold"/>
      <w:sz w:val="20"/>
      <w:szCs w:val="20"/>
    </w:rPr>
  </w:style>
  <w:style w:type="paragraph" w:customStyle="1" w:styleId="BuletZaNabrajanja">
    <w:name w:val="Bulet Za Nabrajanja"/>
    <w:basedOn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Roman" w:eastAsia="Times New Roman" w:hAnsi="TimesRoman"/>
      <w:sz w:val="24"/>
      <w:szCs w:val="20"/>
    </w:rPr>
  </w:style>
  <w:style w:type="paragraph" w:customStyle="1" w:styleId="NaslovDEFINICIJE">
    <w:name w:val="Naslov DEFINICIJE"/>
    <w:basedOn w:val="Heading1"/>
    <w:qFormat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9"/>
    </w:pPr>
    <w:rPr>
      <w:rFonts w:ascii="TimesRomanBold" w:hAnsi="TimesRomanBold"/>
      <w:b w:val="0"/>
      <w:bCs w:val="0"/>
      <w:kern w:val="28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crc.ac.rs" TargetMode="External"/><Relationship Id="rId4" Type="http://schemas.openxmlformats.org/officeDocument/2006/relationships/styles" Target="styles.xml"/><Relationship Id="rId9" Type="http://schemas.openxmlformats.org/officeDocument/2006/relationships/hyperlink" Target="mailto:iors@ncdrc.ac.r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6A011B-C103-4D81-B397-3681EE42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1648</Words>
  <Characters>9400</Characters>
  <Application>Microsoft Office Word</Application>
  <DocSecurity>0</DocSecurity>
  <Lines>78</Lines>
  <Paragraphs>22</Paragraphs>
  <ScaleCrop>false</ScaleCrop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Korisnicki</cp:lastModifiedBy>
  <cp:revision>38</cp:revision>
  <cp:lastPrinted>2014-07-25T08:33:00Z</cp:lastPrinted>
  <dcterms:created xsi:type="dcterms:W3CDTF">2026-03-27T13:17:00Z</dcterms:created>
  <dcterms:modified xsi:type="dcterms:W3CDTF">2026-06-01T08:55:00Z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7d2fc44a-9e2d-42e8-91f0-db1df46f5d9f</vt:lpwstr>
  </property>
  <property fmtid="{D5CDD505-2E9C-101B-9397-08002B2CF9AE}" pid="3" name="KSOTemplateDocerSaveRecord">
    <vt:lpwstr>eyJoZGlkIjoiNGVlMDYzMmEzYmI4ODJmODk2OTAwNzgyYmZmYjU2ZmMiLCJ1c2VySWQiOiIzNzI4NjI3Nzk0MzQ4In0=</vt:lpwstr>
  </property>
  <property fmtid="{D5CDD505-2E9C-101B-9397-08002B2CF9AE}" pid="4" name="KSOProductBuildVer">
    <vt:lpwstr>1033-12.1.0.25242</vt:lpwstr>
  </property>
  <property fmtid="{D5CDD505-2E9C-101B-9397-08002B2CF9AE}" pid="5" name="ICV">
    <vt:lpwstr>E9704AB5008D420FBD7051D4C5EA0B8B_12</vt:lpwstr>
  </property>
</Properties>
</file>