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A1" w:rsidRDefault="00AB12A1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  <w:bookmarkStart w:id="0" w:name="_GoBack"/>
      <w:bookmarkEnd w:id="0"/>
    </w:p>
    <w:p w:rsidR="00894923" w:rsidRDefault="006A50EB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5F0293">
        <w:rPr>
          <w:rFonts w:asciiTheme="minorHAnsi" w:hAnsiTheme="minorHAnsi"/>
          <w:sz w:val="22"/>
          <w:szCs w:val="22"/>
          <w:lang w:val="sr-Latn-CS"/>
        </w:rPr>
        <w:t>Na osnovu člana 108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.</w:t>
      </w:r>
      <w:r w:rsidR="00A16307" w:rsidRPr="005F0293">
        <w:rPr>
          <w:rFonts w:asciiTheme="minorHAnsi" w:hAnsiTheme="minorHAnsi"/>
          <w:sz w:val="22"/>
          <w:szCs w:val="22"/>
          <w:lang w:val="sr-Latn-CS"/>
        </w:rPr>
        <w:t xml:space="preserve"> stav 1.</w:t>
      </w:r>
      <w:r w:rsidR="00AB33D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Zakona o javnim naba</w:t>
      </w:r>
      <w:r w:rsidR="004F7756" w:rsidRPr="005F0293">
        <w:rPr>
          <w:rFonts w:asciiTheme="minorHAnsi" w:hAnsiTheme="minorHAnsi"/>
          <w:sz w:val="22"/>
          <w:szCs w:val="22"/>
          <w:lang w:val="sr-Latn-CS"/>
        </w:rPr>
        <w:t>vkama(</w:t>
      </w:r>
      <w:r w:rsidR="00AB33DB">
        <w:rPr>
          <w:rFonts w:asciiTheme="minorHAnsi" w:hAnsiTheme="minorHAnsi"/>
          <w:sz w:val="22"/>
          <w:szCs w:val="22"/>
          <w:lang w:val="sr-Latn-CS"/>
        </w:rPr>
        <w:t>„</w:t>
      </w:r>
      <w:r w:rsidR="004F7756" w:rsidRPr="005F0293">
        <w:rPr>
          <w:rFonts w:asciiTheme="minorHAnsi" w:hAnsiTheme="minorHAnsi"/>
          <w:sz w:val="22"/>
          <w:szCs w:val="22"/>
          <w:lang w:val="sr-Latn-CS"/>
        </w:rPr>
        <w:t>Službeni glasnik RS</w:t>
      </w:r>
      <w:r w:rsidR="00AB33DB">
        <w:rPr>
          <w:rFonts w:asciiTheme="minorHAnsi" w:hAnsiTheme="minorHAnsi"/>
          <w:sz w:val="22"/>
          <w:szCs w:val="22"/>
          <w:lang w:val="sr-Latn-CS"/>
        </w:rPr>
        <w:t>“</w:t>
      </w:r>
      <w:r w:rsidR="004F7756" w:rsidRPr="005F0293">
        <w:rPr>
          <w:rFonts w:asciiTheme="minorHAnsi" w:hAnsiTheme="minorHAnsi"/>
          <w:sz w:val="22"/>
          <w:szCs w:val="22"/>
          <w:lang w:val="sr-Latn-CS"/>
        </w:rPr>
        <w:t xml:space="preserve"> br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.124/2012</w:t>
      </w:r>
      <w:r w:rsidR="007B7496" w:rsidRPr="005F0293">
        <w:rPr>
          <w:rFonts w:asciiTheme="minorHAnsi" w:hAnsiTheme="minorHAnsi"/>
          <w:sz w:val="22"/>
          <w:szCs w:val="22"/>
          <w:lang w:val="sr-Latn-CS"/>
        </w:rPr>
        <w:t>,14/15,68/15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 xml:space="preserve">) a u vezi sa članom 32. 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Zakona o javnim nabavkama i usvojenog Izveštaja Komisije o st</w:t>
      </w:r>
      <w:r w:rsidRPr="005F0293">
        <w:rPr>
          <w:rFonts w:asciiTheme="minorHAnsi" w:hAnsiTheme="minorHAnsi"/>
          <w:sz w:val="22"/>
          <w:szCs w:val="22"/>
          <w:lang w:val="sr-Latn-CS"/>
        </w:rPr>
        <w:t xml:space="preserve">ručnoj oceni ponuda </w:t>
      </w:r>
      <w:r w:rsidR="006B5E3B">
        <w:rPr>
          <w:rFonts w:asciiTheme="minorHAnsi" w:hAnsiTheme="minorHAnsi"/>
          <w:sz w:val="22"/>
          <w:szCs w:val="22"/>
          <w:lang w:val="sr-Latn-CS"/>
        </w:rPr>
        <w:t xml:space="preserve">broj: </w:t>
      </w:r>
      <w:r w:rsidR="0078724F" w:rsidRPr="0078724F">
        <w:rPr>
          <w:rFonts w:asciiTheme="minorHAnsi" w:hAnsiTheme="minorHAnsi"/>
          <w:sz w:val="22"/>
          <w:szCs w:val="22"/>
          <w:u w:val="single"/>
          <w:lang w:val="sr-Latn-CS"/>
        </w:rPr>
        <w:t>14-32/1</w:t>
      </w:r>
      <w:r w:rsidR="0078724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6B5E3B">
        <w:rPr>
          <w:rFonts w:asciiTheme="minorHAnsi" w:hAnsiTheme="minorHAnsi"/>
          <w:sz w:val="22"/>
          <w:szCs w:val="22"/>
          <w:lang w:val="sr-Latn-CS"/>
        </w:rPr>
        <w:t xml:space="preserve">od </w:t>
      </w:r>
      <w:r w:rsidR="0078724F" w:rsidRPr="0078724F">
        <w:rPr>
          <w:rFonts w:asciiTheme="minorHAnsi" w:hAnsiTheme="minorHAnsi"/>
          <w:sz w:val="22"/>
          <w:szCs w:val="22"/>
          <w:u w:val="single"/>
          <w:lang w:val="sr-Latn-CS"/>
        </w:rPr>
        <w:t>15.03.2019</w:t>
      </w:r>
      <w:r w:rsidR="0078724F">
        <w:rPr>
          <w:rFonts w:asciiTheme="minorHAnsi" w:hAnsiTheme="minorHAnsi"/>
          <w:sz w:val="22"/>
          <w:szCs w:val="22"/>
          <w:lang w:val="sr-Latn-CS"/>
        </w:rPr>
        <w:t>.</w:t>
      </w:r>
      <w:r w:rsidR="006B5E3B">
        <w:rPr>
          <w:rFonts w:asciiTheme="minorHAnsi" w:hAnsiTheme="minorHAnsi"/>
          <w:sz w:val="22"/>
          <w:szCs w:val="22"/>
          <w:lang w:val="sr-Latn-CS"/>
        </w:rPr>
        <w:t>g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odine u</w:t>
      </w:r>
      <w:r w:rsidR="007B7496" w:rsidRPr="005F0293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otvorenom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 xml:space="preserve"> p</w:t>
      </w:r>
      <w:r w:rsidR="00D241AD" w:rsidRPr="005F0293">
        <w:rPr>
          <w:rFonts w:asciiTheme="minorHAnsi" w:hAnsiTheme="minorHAnsi"/>
          <w:sz w:val="22"/>
          <w:szCs w:val="22"/>
          <w:lang w:val="sr-Latn-CS"/>
        </w:rPr>
        <w:t>ostupku javne nabavke</w:t>
      </w:r>
      <w:r w:rsidR="003C42F6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3C42F6" w:rsidRPr="004E793F">
        <w:rPr>
          <w:rFonts w:asciiTheme="minorHAnsi" w:hAnsiTheme="minorHAnsi"/>
          <w:sz w:val="22"/>
          <w:szCs w:val="22"/>
          <w:lang w:val="it-IT"/>
        </w:rPr>
        <w:t>zatvoreni</w:t>
      </w:r>
      <w:r w:rsidR="003C42F6">
        <w:rPr>
          <w:rFonts w:asciiTheme="minorHAnsi" w:hAnsiTheme="minorHAnsi"/>
          <w:sz w:val="22"/>
          <w:szCs w:val="22"/>
          <w:lang w:val="it-IT"/>
        </w:rPr>
        <w:t>h</w:t>
      </w:r>
      <w:r w:rsidR="003C42F6" w:rsidRPr="004E793F">
        <w:rPr>
          <w:rFonts w:asciiTheme="minorHAnsi" w:hAnsiTheme="minorHAnsi"/>
          <w:sz w:val="22"/>
          <w:szCs w:val="22"/>
          <w:lang w:val="it-IT"/>
        </w:rPr>
        <w:t xml:space="preserve"> sistem</w:t>
      </w:r>
      <w:r w:rsidR="003C42F6">
        <w:rPr>
          <w:rFonts w:asciiTheme="minorHAnsi" w:hAnsiTheme="minorHAnsi"/>
          <w:sz w:val="22"/>
          <w:szCs w:val="22"/>
          <w:lang w:val="it-IT"/>
        </w:rPr>
        <w:t>a</w:t>
      </w:r>
      <w:r w:rsidR="003C42F6" w:rsidRPr="004E793F">
        <w:rPr>
          <w:rFonts w:asciiTheme="minorHAnsi" w:hAnsiTheme="minorHAnsi"/>
          <w:sz w:val="22"/>
          <w:szCs w:val="22"/>
          <w:lang w:val="it-IT"/>
        </w:rPr>
        <w:t xml:space="preserve"> za pripremu i davanje citostatske terapije sa sanitetskim i medicinskim potrošnim materijalom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>,</w:t>
      </w:r>
      <w:r w:rsidR="00AB33D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CC31E6" w:rsidRPr="005F0293">
        <w:rPr>
          <w:rFonts w:asciiTheme="minorHAnsi" w:hAnsiTheme="minorHAnsi"/>
          <w:sz w:val="22"/>
          <w:szCs w:val="22"/>
          <w:lang w:val="sr-Latn-CS"/>
        </w:rPr>
        <w:t>V.D.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 xml:space="preserve"> Direktor</w:t>
      </w:r>
      <w:r w:rsidR="009C3A80" w:rsidRPr="005F0293">
        <w:rPr>
          <w:rFonts w:asciiTheme="minorHAnsi" w:hAnsiTheme="minorHAnsi"/>
          <w:sz w:val="22"/>
          <w:szCs w:val="22"/>
          <w:lang w:val="sr-Latn-CS"/>
        </w:rPr>
        <w:t>a</w:t>
      </w:r>
      <w:r w:rsidR="00552DE5">
        <w:rPr>
          <w:rFonts w:asciiTheme="minorHAnsi" w:hAnsiTheme="minorHAnsi"/>
          <w:sz w:val="22"/>
          <w:szCs w:val="22"/>
          <w:lang w:val="sr-Latn-CS"/>
        </w:rPr>
        <w:t xml:space="preserve"> Instituta za onkologiju i radiologiju Srbije, doneo je </w:t>
      </w:r>
      <w:r w:rsidR="00894923" w:rsidRPr="005F0293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5F0293" w:rsidRPr="005F0293" w:rsidRDefault="005F0293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BE66E9" w:rsidRDefault="007B7496" w:rsidP="005F0293">
      <w:pPr>
        <w:ind w:left="1440" w:firstLine="720"/>
        <w:rPr>
          <w:rFonts w:asciiTheme="minorHAnsi" w:hAnsiTheme="minorHAnsi"/>
          <w:b/>
          <w:sz w:val="22"/>
          <w:szCs w:val="22"/>
          <w:lang w:val="sr-Latn-CS"/>
        </w:rPr>
      </w:pPr>
      <w:r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                       </w:t>
      </w:r>
      <w:r w:rsidR="00BC22F6"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5F0293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="006A50EB" w:rsidRPr="005F0293">
        <w:rPr>
          <w:rFonts w:asciiTheme="minorHAnsi" w:hAnsiTheme="minorHAnsi"/>
          <w:b/>
          <w:sz w:val="22"/>
          <w:szCs w:val="22"/>
          <w:lang w:val="sr-Latn-CS"/>
        </w:rPr>
        <w:t>ODLUKU O DODELI UGOVORA</w:t>
      </w:r>
    </w:p>
    <w:p w:rsidR="003C42F6" w:rsidRDefault="003C42F6" w:rsidP="005F0293">
      <w:pPr>
        <w:ind w:left="1440" w:firstLine="720"/>
        <w:rPr>
          <w:rFonts w:asciiTheme="minorHAnsi" w:hAnsiTheme="minorHAnsi"/>
          <w:b/>
          <w:sz w:val="22"/>
          <w:szCs w:val="22"/>
          <w:lang w:val="sr-Latn-CS"/>
        </w:rPr>
      </w:pPr>
    </w:p>
    <w:p w:rsidR="00AB33DB" w:rsidRDefault="00AB33DB" w:rsidP="005F0293">
      <w:pPr>
        <w:ind w:left="1440" w:firstLine="720"/>
        <w:rPr>
          <w:rFonts w:asciiTheme="minorHAnsi" w:hAnsiTheme="minorHAnsi"/>
          <w:b/>
          <w:sz w:val="22"/>
          <w:szCs w:val="22"/>
          <w:lang w:val="sr-Latn-CS"/>
        </w:rPr>
      </w:pPr>
    </w:p>
    <w:p w:rsidR="00345643" w:rsidRDefault="00BE66E9" w:rsidP="003C42F6">
      <w:pPr>
        <w:rPr>
          <w:rFonts w:asciiTheme="minorHAnsi" w:hAnsiTheme="minorHAnsi"/>
          <w:sz w:val="22"/>
          <w:szCs w:val="22"/>
          <w:lang w:val="it-IT"/>
        </w:rPr>
      </w:pPr>
      <w:r w:rsidRPr="00AB33DB">
        <w:rPr>
          <w:rFonts w:asciiTheme="minorHAnsi" w:hAnsiTheme="minorHAnsi"/>
          <w:sz w:val="22"/>
          <w:szCs w:val="22"/>
          <w:lang w:val="sr-Latn-CS"/>
        </w:rPr>
        <w:t xml:space="preserve">kojom </w:t>
      </w:r>
      <w:r w:rsidR="006A50EB" w:rsidRPr="00AB33DB">
        <w:rPr>
          <w:rFonts w:asciiTheme="minorHAnsi" w:hAnsiTheme="minorHAnsi"/>
          <w:sz w:val="22"/>
          <w:szCs w:val="22"/>
          <w:lang w:val="sr-Latn-CS"/>
        </w:rPr>
        <w:t>ugovor</w:t>
      </w:r>
      <w:r w:rsidR="004304CB" w:rsidRPr="00AB33DB">
        <w:rPr>
          <w:rFonts w:asciiTheme="minorHAnsi" w:hAnsiTheme="minorHAnsi"/>
          <w:sz w:val="22"/>
          <w:szCs w:val="22"/>
        </w:rPr>
        <w:t>е</w:t>
      </w:r>
      <w:r w:rsidR="006A50EB" w:rsidRPr="00AB33DB">
        <w:rPr>
          <w:rFonts w:asciiTheme="minorHAnsi" w:hAnsiTheme="minorHAnsi"/>
          <w:sz w:val="22"/>
          <w:szCs w:val="22"/>
          <w:lang w:val="sr-Latn-CS"/>
        </w:rPr>
        <w:t xml:space="preserve"> u</w:t>
      </w:r>
      <w:r w:rsidR="005F0293" w:rsidRPr="00AB33D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3C42F6">
        <w:rPr>
          <w:rFonts w:asciiTheme="minorHAnsi" w:hAnsiTheme="minorHAnsi"/>
          <w:sz w:val="22"/>
          <w:szCs w:val="22"/>
          <w:lang w:val="sr-Latn-CS"/>
        </w:rPr>
        <w:t>29</w:t>
      </w:r>
      <w:r w:rsidR="005F0293" w:rsidRPr="00AB33DB">
        <w:rPr>
          <w:rFonts w:asciiTheme="minorHAnsi" w:hAnsiTheme="minorHAnsi"/>
          <w:sz w:val="22"/>
          <w:szCs w:val="22"/>
          <w:lang w:val="sr-Latn-CS"/>
        </w:rPr>
        <w:t xml:space="preserve">. </w:t>
      </w:r>
      <w:r w:rsidR="006A50EB" w:rsidRPr="00AB33DB">
        <w:rPr>
          <w:rFonts w:asciiTheme="minorHAnsi" w:hAnsiTheme="minorHAnsi"/>
          <w:sz w:val="22"/>
          <w:szCs w:val="22"/>
          <w:lang w:val="sr-Latn-CS"/>
        </w:rPr>
        <w:t xml:space="preserve"> javnoj nabavci </w:t>
      </w:r>
      <w:r w:rsidR="003E24C9" w:rsidRPr="00AB33DB">
        <w:rPr>
          <w:rFonts w:asciiTheme="minorHAnsi" w:hAnsiTheme="minorHAnsi"/>
          <w:color w:val="000000" w:themeColor="text1"/>
          <w:sz w:val="22"/>
          <w:szCs w:val="22"/>
          <w:lang w:val="it-IT"/>
        </w:rPr>
        <w:t>dobra:</w:t>
      </w:r>
      <w:r w:rsidR="003E24C9" w:rsidRPr="00AB33D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8724F" w:rsidRPr="004E793F">
        <w:rPr>
          <w:rFonts w:asciiTheme="minorHAnsi" w:hAnsiTheme="minorHAnsi"/>
          <w:sz w:val="22"/>
          <w:szCs w:val="22"/>
          <w:lang w:val="it-IT"/>
        </w:rPr>
        <w:t>zatvoreni</w:t>
      </w:r>
      <w:r w:rsidR="0078724F">
        <w:rPr>
          <w:rFonts w:asciiTheme="minorHAnsi" w:hAnsiTheme="minorHAnsi"/>
          <w:sz w:val="22"/>
          <w:szCs w:val="22"/>
          <w:lang w:val="it-IT"/>
        </w:rPr>
        <w:t>h</w:t>
      </w:r>
      <w:r w:rsidR="0078724F" w:rsidRPr="004E793F">
        <w:rPr>
          <w:rFonts w:asciiTheme="minorHAnsi" w:hAnsiTheme="minorHAnsi"/>
          <w:sz w:val="22"/>
          <w:szCs w:val="22"/>
          <w:lang w:val="it-IT"/>
        </w:rPr>
        <w:t xml:space="preserve"> sistem</w:t>
      </w:r>
      <w:r w:rsidR="0078724F">
        <w:rPr>
          <w:rFonts w:asciiTheme="minorHAnsi" w:hAnsiTheme="minorHAnsi"/>
          <w:sz w:val="22"/>
          <w:szCs w:val="22"/>
          <w:lang w:val="it-IT"/>
        </w:rPr>
        <w:t>a</w:t>
      </w:r>
      <w:r w:rsidR="0078724F" w:rsidRPr="004E793F">
        <w:rPr>
          <w:rFonts w:asciiTheme="minorHAnsi" w:hAnsiTheme="minorHAnsi"/>
          <w:sz w:val="22"/>
          <w:szCs w:val="22"/>
          <w:lang w:val="it-IT"/>
        </w:rPr>
        <w:t xml:space="preserve"> za pripremu i davanje citostatske terapije sa sanitetskim i medicinskim potrošnim materijalom</w:t>
      </w:r>
      <w:r w:rsidR="0078724F">
        <w:rPr>
          <w:rFonts w:asciiTheme="minorHAnsi" w:hAnsiTheme="minorHAnsi"/>
          <w:sz w:val="22"/>
          <w:szCs w:val="22"/>
          <w:lang w:val="it-IT"/>
        </w:rPr>
        <w:t xml:space="preserve"> dodeljuje sledećim ponuđačima:</w:t>
      </w:r>
    </w:p>
    <w:p w:rsidR="0078724F" w:rsidRDefault="0078724F" w:rsidP="003C42F6">
      <w:pPr>
        <w:rPr>
          <w:rFonts w:asciiTheme="minorHAnsi" w:hAnsiTheme="minorHAnsi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18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140"/>
        <w:gridCol w:w="2934"/>
        <w:gridCol w:w="2106"/>
      </w:tblGrid>
      <w:tr w:rsidR="003C42F6" w:rsidRPr="007F54D2" w:rsidTr="003C42F6">
        <w:trPr>
          <w:trHeight w:val="394"/>
        </w:trPr>
        <w:tc>
          <w:tcPr>
            <w:tcW w:w="918" w:type="dxa"/>
            <w:shd w:val="clear" w:color="auto" w:fill="DBE5F1" w:themeFill="accent1" w:themeFillTint="33"/>
            <w:vAlign w:val="bottom"/>
            <w:hideMark/>
          </w:tcPr>
          <w:p w:rsidR="003C42F6" w:rsidRPr="0022395B" w:rsidRDefault="003C42F6" w:rsidP="003C42F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395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Broj </w:t>
            </w:r>
            <w:r w:rsidRPr="0022395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br/>
              <w:t>partije</w:t>
            </w:r>
          </w:p>
        </w:tc>
        <w:tc>
          <w:tcPr>
            <w:tcW w:w="4140" w:type="dxa"/>
            <w:shd w:val="clear" w:color="auto" w:fill="DBE5F1" w:themeFill="accent1" w:themeFillTint="33"/>
            <w:vAlign w:val="bottom"/>
            <w:hideMark/>
          </w:tcPr>
          <w:p w:rsidR="003C42F6" w:rsidRPr="0022395B" w:rsidRDefault="003C42F6" w:rsidP="003C42F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2395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Naziv partije</w:t>
            </w:r>
          </w:p>
        </w:tc>
        <w:tc>
          <w:tcPr>
            <w:tcW w:w="2934" w:type="dxa"/>
            <w:shd w:val="clear" w:color="auto" w:fill="DBE5F1" w:themeFill="accent1" w:themeFillTint="33"/>
            <w:vAlign w:val="bottom"/>
            <w:hideMark/>
          </w:tcPr>
          <w:p w:rsidR="003C42F6" w:rsidRPr="00AF7B50" w:rsidRDefault="003C42F6" w:rsidP="003C42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F7B50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proofErr w:type="gramStart"/>
            <w:r w:rsidRPr="00AF7B50">
              <w:rPr>
                <w:rFonts w:asciiTheme="minorHAnsi" w:hAnsiTheme="minorHAnsi"/>
                <w:b/>
                <w:sz w:val="22"/>
                <w:szCs w:val="22"/>
              </w:rPr>
              <w:t>Naziv  ponuđača</w:t>
            </w:r>
            <w:proofErr w:type="gramEnd"/>
          </w:p>
        </w:tc>
        <w:tc>
          <w:tcPr>
            <w:tcW w:w="2106" w:type="dxa"/>
            <w:shd w:val="clear" w:color="auto" w:fill="DBE5F1" w:themeFill="accent1" w:themeFillTint="33"/>
            <w:vAlign w:val="bottom"/>
          </w:tcPr>
          <w:p w:rsidR="003C42F6" w:rsidRPr="00AF7B50" w:rsidRDefault="003C42F6" w:rsidP="003C42F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B50">
              <w:rPr>
                <w:rFonts w:asciiTheme="minorHAnsi" w:hAnsiTheme="minorHAnsi"/>
                <w:b/>
                <w:sz w:val="22"/>
                <w:szCs w:val="22"/>
              </w:rPr>
              <w:t>Vrednost ponude bez pdv-a</w:t>
            </w:r>
          </w:p>
        </w:tc>
      </w:tr>
      <w:tr w:rsidR="003C42F6" w:rsidRPr="007F54D2" w:rsidTr="003C42F6">
        <w:trPr>
          <w:trHeight w:val="262"/>
        </w:trPr>
        <w:tc>
          <w:tcPr>
            <w:tcW w:w="91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4140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ZATVORENI SISTEMI ZA PRIMENU CITOTOKSIČNIH LEKOVA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:rsidR="003C42F6" w:rsidRPr="00455057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„ORTHOAID“doo, Pasterova 1, Beograd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7.230.000,00</w:t>
            </w:r>
          </w:p>
        </w:tc>
      </w:tr>
      <w:tr w:rsidR="003C42F6" w:rsidRPr="007F54D2" w:rsidTr="003C42F6">
        <w:trPr>
          <w:trHeight w:val="262"/>
        </w:trPr>
        <w:tc>
          <w:tcPr>
            <w:tcW w:w="91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4140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ZATVORENI SISTEMI ZA PRIPREMU, TRANSFER I PRIMENU CITOTOKSIČNIH LEKOVA SA ZVUČNIM KLIKOM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:rsidR="003C42F6" w:rsidRPr="00455057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„Farmalogist“doo, Mirijevski bulevar 3, Beograd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22.362.870,00</w:t>
            </w:r>
          </w:p>
        </w:tc>
      </w:tr>
      <w:tr w:rsidR="003C42F6" w:rsidRPr="007F54D2" w:rsidTr="003C42F6">
        <w:trPr>
          <w:trHeight w:val="269"/>
        </w:trPr>
        <w:tc>
          <w:tcPr>
            <w:tcW w:w="918" w:type="dxa"/>
            <w:shd w:val="clear" w:color="auto" w:fill="FFFFFF" w:themeFill="background1"/>
            <w:vAlign w:val="bottom"/>
            <w:hideMark/>
          </w:tcPr>
          <w:p w:rsidR="003C42F6" w:rsidRPr="0022395B" w:rsidRDefault="003C42F6" w:rsidP="003C42F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  <w:vAlign w:val="bottom"/>
            <w:hideMark/>
          </w:tcPr>
          <w:p w:rsidR="003C42F6" w:rsidRPr="0022395B" w:rsidRDefault="003C42F6" w:rsidP="003C42F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Ukupno sve partije</w:t>
            </w:r>
          </w:p>
        </w:tc>
        <w:tc>
          <w:tcPr>
            <w:tcW w:w="2934" w:type="dxa"/>
            <w:shd w:val="clear" w:color="auto" w:fill="auto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  <w:tc>
          <w:tcPr>
            <w:tcW w:w="2106" w:type="dxa"/>
            <w:shd w:val="clear" w:color="auto" w:fill="auto"/>
            <w:vAlign w:val="bottom"/>
          </w:tcPr>
          <w:p w:rsidR="003C42F6" w:rsidRPr="000D6A88" w:rsidRDefault="003C42F6" w:rsidP="003C42F6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0D6A88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29.592.870,00</w:t>
            </w:r>
          </w:p>
        </w:tc>
      </w:tr>
    </w:tbl>
    <w:p w:rsidR="003C42F6" w:rsidRDefault="003C42F6" w:rsidP="003C42F6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3C42F6" w:rsidRDefault="003C42F6" w:rsidP="003C42F6">
      <w:pPr>
        <w:rPr>
          <w:rFonts w:asciiTheme="minorHAnsi" w:hAnsiTheme="minorHAnsi"/>
          <w:sz w:val="22"/>
          <w:szCs w:val="22"/>
          <w:lang w:val="sr-Latn-CS"/>
        </w:rPr>
      </w:pPr>
    </w:p>
    <w:p w:rsidR="003C42F6" w:rsidRDefault="003C42F6" w:rsidP="003C42F6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Istovremeno, komisija naručioca predlaže da V.D. Direktora donese odluku o obustavi postupka javne nabavke za partije za koje nije pristigla nijedna ili nijedna prihvatljiva ponuda:</w:t>
      </w:r>
    </w:p>
    <w:p w:rsidR="003C42F6" w:rsidRDefault="003C42F6" w:rsidP="003C42F6">
      <w:pPr>
        <w:rPr>
          <w:rFonts w:asciiTheme="minorHAnsi" w:hAnsiTheme="minorHAnsi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4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850"/>
        <w:gridCol w:w="2070"/>
      </w:tblGrid>
      <w:tr w:rsidR="003C42F6" w:rsidTr="003C42F6">
        <w:trPr>
          <w:trHeight w:val="269"/>
        </w:trPr>
        <w:tc>
          <w:tcPr>
            <w:tcW w:w="2178" w:type="dxa"/>
            <w:shd w:val="clear" w:color="auto" w:fill="DBE5F1" w:themeFill="accent1" w:themeFillTint="33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Broj partije</w:t>
            </w:r>
          </w:p>
        </w:tc>
        <w:tc>
          <w:tcPr>
            <w:tcW w:w="5850" w:type="dxa"/>
            <w:shd w:val="clear" w:color="auto" w:fill="DBE5F1" w:themeFill="accent1" w:themeFillTint="33"/>
            <w:vAlign w:val="bottom"/>
            <w:hideMark/>
          </w:tcPr>
          <w:p w:rsidR="003C42F6" w:rsidRPr="004E1994" w:rsidRDefault="003C42F6" w:rsidP="003C42F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Naziv partije</w:t>
            </w:r>
          </w:p>
        </w:tc>
        <w:tc>
          <w:tcPr>
            <w:tcW w:w="2070" w:type="dxa"/>
            <w:shd w:val="clear" w:color="auto" w:fill="DBE5F1" w:themeFill="accent1" w:themeFillTint="33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Procenjena vrednost</w:t>
            </w:r>
          </w:p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partije, bez pdv-a</w:t>
            </w:r>
          </w:p>
        </w:tc>
      </w:tr>
      <w:tr w:rsidR="003C42F6" w:rsidRPr="004E1994" w:rsidTr="003C42F6">
        <w:trPr>
          <w:trHeight w:val="269"/>
        </w:trPr>
        <w:tc>
          <w:tcPr>
            <w:tcW w:w="217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850" w:type="dxa"/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PODLOGA ZA PRIMENU CITOSTATIKA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C42F6" w:rsidRPr="0087489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4896">
              <w:rPr>
                <w:rFonts w:asciiTheme="minorHAnsi" w:hAnsiTheme="minorHAnsi"/>
                <w:color w:val="000000"/>
                <w:sz w:val="20"/>
                <w:szCs w:val="20"/>
              </w:rPr>
              <w:t>695.000,00</w:t>
            </w:r>
          </w:p>
        </w:tc>
      </w:tr>
      <w:tr w:rsidR="003C42F6" w:rsidRPr="004E1994" w:rsidTr="003C42F6">
        <w:trPr>
          <w:trHeight w:val="269"/>
        </w:trPr>
        <w:tc>
          <w:tcPr>
            <w:tcW w:w="217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850" w:type="dxa"/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MANTILI NESTERILINI ZA JEDNOKRATNU UPOTREBU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C42F6" w:rsidRPr="0087489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4896">
              <w:rPr>
                <w:rFonts w:asciiTheme="minorHAnsi" w:hAnsiTheme="minorHAnsi"/>
                <w:color w:val="000000"/>
                <w:sz w:val="20"/>
                <w:szCs w:val="20"/>
              </w:rPr>
              <w:t>2.184.000,00</w:t>
            </w:r>
          </w:p>
        </w:tc>
      </w:tr>
      <w:tr w:rsidR="003C42F6" w:rsidRPr="00773A25" w:rsidTr="003C42F6">
        <w:trPr>
          <w:trHeight w:val="269"/>
        </w:trPr>
        <w:tc>
          <w:tcPr>
            <w:tcW w:w="217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</w:p>
        </w:tc>
        <w:tc>
          <w:tcPr>
            <w:tcW w:w="5850" w:type="dxa"/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ZAŠTITNE RUKAVICE RA RAD SA CITOSTATICIMA NITRILNE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C42F6" w:rsidRPr="0087489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4896">
              <w:rPr>
                <w:rFonts w:asciiTheme="minorHAnsi" w:hAnsiTheme="minorHAnsi"/>
                <w:color w:val="000000"/>
                <w:sz w:val="20"/>
                <w:szCs w:val="20"/>
              </w:rPr>
              <w:t>210.900,00</w:t>
            </w:r>
          </w:p>
        </w:tc>
      </w:tr>
      <w:tr w:rsidR="003C42F6" w:rsidRPr="00773A25" w:rsidTr="003C42F6">
        <w:trPr>
          <w:trHeight w:val="269"/>
        </w:trPr>
        <w:tc>
          <w:tcPr>
            <w:tcW w:w="217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5850" w:type="dxa"/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3C42F6" w:rsidRPr="0087489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4896">
              <w:rPr>
                <w:rFonts w:asciiTheme="minorHAnsi" w:hAnsiTheme="minorHAnsi"/>
                <w:color w:val="000000"/>
                <w:sz w:val="20"/>
                <w:szCs w:val="20"/>
              </w:rPr>
              <w:t>695.000,00</w:t>
            </w:r>
          </w:p>
        </w:tc>
      </w:tr>
      <w:tr w:rsidR="003C42F6" w:rsidRPr="00773A25" w:rsidTr="003C42F6">
        <w:trPr>
          <w:trHeight w:val="269"/>
        </w:trPr>
        <w:tc>
          <w:tcPr>
            <w:tcW w:w="2178" w:type="dxa"/>
            <w:shd w:val="clear" w:color="auto" w:fill="FFFFFF" w:themeFill="background1"/>
            <w:vAlign w:val="bottom"/>
            <w:hideMark/>
          </w:tcPr>
          <w:p w:rsidR="003C42F6" w:rsidRPr="004E1994" w:rsidRDefault="003C42F6" w:rsidP="003C42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bottom"/>
            <w:hideMark/>
          </w:tcPr>
          <w:p w:rsidR="003C42F6" w:rsidRPr="001E70A7" w:rsidRDefault="003C42F6" w:rsidP="003C42F6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E70A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Ukupno partije od III-VI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70" w:type="dxa"/>
            <w:shd w:val="clear" w:color="auto" w:fill="FFFFFF" w:themeFill="background1"/>
          </w:tcPr>
          <w:p w:rsidR="003C42F6" w:rsidRPr="00874896" w:rsidRDefault="003C42F6" w:rsidP="003C42F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74896">
              <w:rPr>
                <w:rFonts w:asciiTheme="minorHAnsi" w:hAnsiTheme="minorHAnsi"/>
                <w:b/>
                <w:sz w:val="22"/>
                <w:szCs w:val="22"/>
              </w:rPr>
              <w:t>3.784.900,00</w:t>
            </w:r>
          </w:p>
        </w:tc>
      </w:tr>
    </w:tbl>
    <w:p w:rsidR="003C42F6" w:rsidRDefault="003C42F6" w:rsidP="003C42F6">
      <w:pPr>
        <w:rPr>
          <w:rFonts w:asciiTheme="minorHAnsi" w:hAnsiTheme="minorHAnsi"/>
          <w:sz w:val="22"/>
          <w:szCs w:val="22"/>
          <w:lang w:val="it-IT"/>
        </w:rPr>
      </w:pPr>
    </w:p>
    <w:p w:rsidR="003C42F6" w:rsidRDefault="003C42F6" w:rsidP="003C42F6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    </w:t>
      </w:r>
    </w:p>
    <w:p w:rsidR="003C42F6" w:rsidRPr="003C42F6" w:rsidRDefault="003C42F6" w:rsidP="003C42F6">
      <w:pPr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 w:rsidRPr="003C42F6">
        <w:rPr>
          <w:rFonts w:asciiTheme="minorHAnsi" w:hAnsiTheme="minorHAnsi"/>
          <w:b/>
          <w:sz w:val="22"/>
          <w:szCs w:val="22"/>
          <w:lang w:val="it-IT"/>
        </w:rPr>
        <w:t>O  B  R  A  Z  L  O  Ž  E  NJ  E</w:t>
      </w:r>
    </w:p>
    <w:p w:rsidR="003C42F6" w:rsidRDefault="003C42F6" w:rsidP="003C42F6">
      <w:pPr>
        <w:rPr>
          <w:rFonts w:asciiTheme="minorHAnsi" w:hAnsiTheme="minorHAnsi"/>
          <w:sz w:val="22"/>
          <w:szCs w:val="22"/>
          <w:lang w:val="it-IT"/>
        </w:rPr>
      </w:pPr>
    </w:p>
    <w:p w:rsidR="003C42F6" w:rsidRDefault="003C42F6" w:rsidP="003C42F6">
      <w:pPr>
        <w:rPr>
          <w:rFonts w:asciiTheme="minorHAnsi" w:hAnsiTheme="minorHAnsi"/>
          <w:sz w:val="22"/>
          <w:szCs w:val="22"/>
          <w:lang w:val="it-IT"/>
        </w:rPr>
      </w:pPr>
    </w:p>
    <w:p w:rsidR="003C42F6" w:rsidRPr="004E793F" w:rsidRDefault="003C42F6" w:rsidP="003C42F6">
      <w:pPr>
        <w:rPr>
          <w:rFonts w:asciiTheme="minorHAnsi" w:hAnsiTheme="minorHAnsi"/>
          <w:sz w:val="22"/>
          <w:szCs w:val="22"/>
          <w:lang w:val="it-IT"/>
        </w:rPr>
      </w:pPr>
      <w:r w:rsidRPr="004E793F">
        <w:rPr>
          <w:rFonts w:asciiTheme="minorHAnsi" w:hAnsiTheme="minorHAnsi"/>
          <w:sz w:val="22"/>
          <w:szCs w:val="22"/>
          <w:lang w:val="it-IT"/>
        </w:rPr>
        <w:t xml:space="preserve">Predmet </w:t>
      </w:r>
      <w:r>
        <w:rPr>
          <w:rFonts w:asciiTheme="minorHAnsi" w:hAnsiTheme="minorHAnsi"/>
          <w:sz w:val="22"/>
          <w:szCs w:val="22"/>
          <w:lang w:val="it-IT"/>
        </w:rPr>
        <w:t xml:space="preserve">29. Javne </w:t>
      </w:r>
      <w:r w:rsidRPr="004E793F">
        <w:rPr>
          <w:rFonts w:asciiTheme="minorHAnsi" w:hAnsiTheme="minorHAnsi"/>
          <w:sz w:val="22"/>
          <w:szCs w:val="22"/>
          <w:lang w:val="it-IT"/>
        </w:rPr>
        <w:t xml:space="preserve">nabavke su zatvoreni sistemi za pripremu i davanje citostatske terapije sa sanitetskim i medicinskim potrošnim materijalom. U planu javnih nabavki za 2019. g. naručioca, predmetna nabavka nalazi se na rednom broju: 3.8., sanitetski i medicinski potrošni materijal( sa autotranfuzionim sistemima i zatvorenim sistemima za primenu citostatske terapije). U opštem rečniku nabavki nalazi se pod oznakom: 33140000, medicinski potrošni materijal.Vrednost ove nabavke kako naručilac procenjuje i očekuje iznosi oko: </w:t>
      </w:r>
      <w:r w:rsidRPr="004E793F">
        <w:rPr>
          <w:rFonts w:asciiTheme="minorHAnsi" w:hAnsiTheme="minorHAnsi"/>
          <w:b/>
          <w:color w:val="000000"/>
          <w:sz w:val="22"/>
          <w:szCs w:val="22"/>
        </w:rPr>
        <w:t>33.663.180,00</w:t>
      </w:r>
      <w:r w:rsidRPr="004E793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793F">
        <w:rPr>
          <w:rFonts w:asciiTheme="minorHAnsi" w:hAnsiTheme="minorHAnsi"/>
          <w:sz w:val="22"/>
          <w:szCs w:val="22"/>
          <w:lang w:val="it-IT"/>
        </w:rPr>
        <w:t xml:space="preserve">dinara za period od godinu dana. </w:t>
      </w:r>
    </w:p>
    <w:tbl>
      <w:tblPr>
        <w:tblpPr w:leftFromText="180" w:rightFromText="180" w:bottomFromText="200" w:vertAnchor="text" w:horzAnchor="margin" w:tblpX="-176" w:tblpY="132"/>
        <w:tblW w:w="10740" w:type="dxa"/>
        <w:tblLayout w:type="fixed"/>
        <w:tblLook w:val="04A0" w:firstRow="1" w:lastRow="0" w:firstColumn="1" w:lastColumn="0" w:noHBand="0" w:noVBand="1"/>
      </w:tblPr>
      <w:tblGrid>
        <w:gridCol w:w="828"/>
        <w:gridCol w:w="5040"/>
        <w:gridCol w:w="900"/>
        <w:gridCol w:w="990"/>
        <w:gridCol w:w="1080"/>
        <w:gridCol w:w="1902"/>
      </w:tblGrid>
      <w:tr w:rsidR="003C42F6" w:rsidTr="003C42F6">
        <w:trPr>
          <w:trHeight w:val="3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C42F6" w:rsidRDefault="003C42F6" w:rsidP="003C42F6">
            <w:pPr>
              <w:pStyle w:val="Heading1"/>
              <w:spacing w:before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  Broj partije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C42F6" w:rsidRDefault="003C42F6" w:rsidP="003C42F6">
            <w:pPr>
              <w:pStyle w:val="Heading1"/>
              <w:spacing w:before="0"/>
              <w:rPr>
                <w:rFonts w:asciiTheme="minorHAnsi" w:eastAsia="Times New Roman" w:hAnsiTheme="minorHAnsi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                                       </w:t>
            </w:r>
            <w:proofErr w:type="gramStart"/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Naziv  artikla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C42F6" w:rsidRDefault="003C42F6" w:rsidP="003C42F6">
            <w:pPr>
              <w:pStyle w:val="Heading1"/>
              <w:spacing w:before="0"/>
              <w:jc w:val="center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Jed     mere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C42F6" w:rsidRDefault="003C42F6" w:rsidP="003C42F6">
            <w:pPr>
              <w:pStyle w:val="Heading1"/>
              <w:spacing w:before="0"/>
              <w:jc w:val="center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Količ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Jedinična cena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Procenjena vrednost, bez pdv-a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ZATVORENI SISTEMI ZA PRIMENU CITOTOKSIČNIH LEKOVA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Injektor zatvorenog sistema za pripremu, transfer i primenu leka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2.900.000,00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Protektor zatvorenog sistema za pripremu, transfer i primenu leka sa ekspanzionom komorom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3.500.000,00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Infuzioni adapter zatvorenog sistema za pripremu, transfer i primenu leka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1.150.000,00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Konektor zatvorenog sistema za pripremu, transfer i primenu leka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475.000,00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Ukupno partija 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8.025.000,00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ZATVORENI SISTEMI ZA PRIPREMU, TRANSFER I PRIMENU CITOTOKSIČNIH LEKOVA SA ZVUČNIM KLIKOM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Nastavak za špric sa zvučnim klikom i zaštitnom kapicom bez mogućnosti korišćenja nesterilisanog vazduha iz spoljne sredine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11.040.000,00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Nastavak za bočicu promera 20 </w:t>
            </w:r>
            <w:proofErr w:type="gram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mm  sa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zvucnim klikom i sa zaštitnom kapicom i dodatnim adapterom za bočice promera 13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7.560.000,00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Nastavak za aplikaciju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3.255.000,00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Nastavak sa luer lock priključkom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75,00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525.000,00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Ukupno partija II: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22.380.000,00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PODLOGA ZA PRIMENU CITOSTATIKA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695.000,00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MANTILI NESTERILINI ZA JEDNOKRATNU UPOTREBU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2.184.000,00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ZAŠTITNE RUKAVICE RA RAD SA CITOSTATICIMA NITRILNE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210.900,00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 od 5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2,64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5.280,00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Default="003C42F6" w:rsidP="003C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 od 10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4,50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Default="003C42F6" w:rsidP="003C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 od 20ml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6,80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136.000,00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Ukupno partija VI: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168.280,00</w:t>
            </w:r>
          </w:p>
        </w:tc>
      </w:tr>
      <w:tr w:rsidR="003C42F6" w:rsidTr="003C42F6">
        <w:trPr>
          <w:trHeight w:val="2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UKUPNO SVE PARTIJE: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42F6" w:rsidRDefault="003C42F6" w:rsidP="003C42F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33.663.180,00</w:t>
            </w:r>
          </w:p>
        </w:tc>
      </w:tr>
    </w:tbl>
    <w:p w:rsidR="003C42F6" w:rsidRDefault="003C42F6" w:rsidP="003C42F6">
      <w:pPr>
        <w:rPr>
          <w:rFonts w:asciiTheme="minorHAnsi" w:hAnsiTheme="minorHAnsi"/>
          <w:sz w:val="22"/>
          <w:szCs w:val="22"/>
          <w:lang w:val="sr-Latn-CS"/>
        </w:rPr>
      </w:pPr>
    </w:p>
    <w:p w:rsidR="003C42F6" w:rsidRPr="0022395B" w:rsidRDefault="003C42F6" w:rsidP="003C42F6">
      <w:pPr>
        <w:rPr>
          <w:rFonts w:asciiTheme="minorHAnsi" w:hAnsiTheme="minorHAnsi"/>
        </w:rPr>
      </w:pPr>
      <w:r w:rsidRPr="0022395B">
        <w:rPr>
          <w:rFonts w:asciiTheme="minorHAnsi" w:hAnsiTheme="minorHAnsi"/>
          <w:sz w:val="22"/>
          <w:szCs w:val="22"/>
          <w:lang w:val="sr-Latn-CS"/>
        </w:rPr>
        <w:t xml:space="preserve">Naručilac je u skladu sa čl.55. stav 1.tačka 2. Zakona o javnim nabavkama (Sl.glasnik RS br.124/2012,14/15,68/15) u predmetnom postupku javne nabavke objavio poziv za podnošenje ponuda  i konkursnu dokumentaciju na Portalu Uprave za javne nabavke i  internet stranici: </w:t>
      </w:r>
      <w:hyperlink r:id="rId8" w:history="1">
        <w:r w:rsidRPr="0022395B"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</w:p>
    <w:p w:rsidR="003C42F6" w:rsidRDefault="003C42F6" w:rsidP="003C42F6">
      <w:pPr>
        <w:rPr>
          <w:rFonts w:asciiTheme="minorHAnsi" w:hAnsiTheme="minorHAnsi"/>
          <w:sz w:val="22"/>
          <w:szCs w:val="22"/>
          <w:lang w:val="it-IT"/>
        </w:rPr>
      </w:pPr>
    </w:p>
    <w:p w:rsidR="003C42F6" w:rsidRPr="009C76F4" w:rsidRDefault="003C42F6" w:rsidP="003C42F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9C76F4">
        <w:rPr>
          <w:rFonts w:asciiTheme="minorHAnsi" w:hAnsiTheme="minorHAnsi"/>
          <w:sz w:val="22"/>
          <w:szCs w:val="22"/>
          <w:lang w:val="sr-Latn-CS"/>
        </w:rPr>
        <w:t xml:space="preserve">Postupak otvaranja ponuda sproveden je dana 15.03.2019.godine sa početkom u 12.00h u prostorijama Instituta za onkologiju i radiologiju Srbije. </w:t>
      </w:r>
    </w:p>
    <w:p w:rsidR="003C42F6" w:rsidRPr="009C76F4" w:rsidRDefault="003C42F6" w:rsidP="003C42F6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3C42F6" w:rsidRPr="009C76F4" w:rsidRDefault="003C42F6" w:rsidP="003C42F6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9C76F4">
        <w:rPr>
          <w:rFonts w:asciiTheme="minorHAnsi" w:hAnsiTheme="minorHAnsi"/>
          <w:sz w:val="22"/>
          <w:szCs w:val="22"/>
          <w:lang w:val="it-IT"/>
        </w:rPr>
        <w:t>Otvaranje ponuda sprovela je komisija u slede</w:t>
      </w:r>
      <w:r w:rsidRPr="009C76F4">
        <w:rPr>
          <w:rFonts w:asciiTheme="minorHAnsi" w:hAnsiTheme="minorHAnsi"/>
          <w:sz w:val="22"/>
          <w:szCs w:val="22"/>
          <w:lang w:val="sr-Latn-CS"/>
        </w:rPr>
        <w:t>ć</w:t>
      </w:r>
      <w:r w:rsidRPr="009C76F4">
        <w:rPr>
          <w:rFonts w:asciiTheme="minorHAnsi" w:hAnsiTheme="minorHAnsi"/>
          <w:sz w:val="22"/>
          <w:szCs w:val="22"/>
          <w:lang w:val="it-IT"/>
        </w:rPr>
        <w:t>em sastavu:</w:t>
      </w:r>
    </w:p>
    <w:p w:rsidR="003C42F6" w:rsidRPr="009C76F4" w:rsidRDefault="003C42F6" w:rsidP="003C42F6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3C42F6" w:rsidRPr="009C76F4" w:rsidRDefault="003C42F6" w:rsidP="003C42F6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sr-Latn-CS"/>
        </w:rPr>
      </w:pPr>
      <w:r w:rsidRPr="009C76F4">
        <w:rPr>
          <w:rFonts w:asciiTheme="minorHAnsi" w:hAnsiTheme="minorHAnsi" w:cstheme="minorHAnsi"/>
          <w:sz w:val="22"/>
          <w:szCs w:val="22"/>
          <w:lang w:val="sr-Latn-CS"/>
        </w:rPr>
        <w:t>VMT Dragan Kodžo, predsednik komisije,</w:t>
      </w:r>
    </w:p>
    <w:p w:rsidR="003C42F6" w:rsidRPr="009C76F4" w:rsidRDefault="003C42F6" w:rsidP="003C42F6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9C76F4">
        <w:rPr>
          <w:rFonts w:asciiTheme="minorHAnsi" w:hAnsiTheme="minorHAnsi"/>
          <w:sz w:val="22"/>
          <w:szCs w:val="22"/>
          <w:lang w:val="sr-Latn-CS"/>
        </w:rPr>
        <w:t xml:space="preserve">Mr.ph.spec </w:t>
      </w:r>
      <w:r>
        <w:rPr>
          <w:rFonts w:asciiTheme="minorHAnsi" w:hAnsiTheme="minorHAnsi"/>
          <w:sz w:val="22"/>
          <w:szCs w:val="22"/>
          <w:lang w:val="sr-Latn-CS"/>
        </w:rPr>
        <w:t>Ivana Popović,</w:t>
      </w:r>
    </w:p>
    <w:p w:rsidR="003C42F6" w:rsidRPr="009C76F4" w:rsidRDefault="003C42F6" w:rsidP="003C42F6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9C76F4">
        <w:rPr>
          <w:rFonts w:asciiTheme="minorHAnsi" w:hAnsiTheme="minorHAnsi"/>
          <w:sz w:val="22"/>
          <w:szCs w:val="22"/>
          <w:lang w:val="sr-Latn-CS"/>
        </w:rPr>
        <w:t>Željka Jovanović, dipl.ecc.,službenik za javne nabavke</w:t>
      </w:r>
    </w:p>
    <w:p w:rsidR="003C42F6" w:rsidRPr="003C42F6" w:rsidRDefault="003C42F6" w:rsidP="003C42F6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>LJubodrag Bojović</w:t>
      </w:r>
      <w:r w:rsidRPr="009C76F4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9C76F4">
        <w:rPr>
          <w:rFonts w:asciiTheme="minorHAnsi" w:hAnsiTheme="minorHAnsi"/>
          <w:sz w:val="22"/>
          <w:szCs w:val="22"/>
        </w:rPr>
        <w:t>dipl.pravnik</w:t>
      </w:r>
      <w:proofErr w:type="gramEnd"/>
      <w:r w:rsidRPr="009C76F4">
        <w:rPr>
          <w:rFonts w:asciiTheme="minorHAnsi" w:hAnsiTheme="minorHAnsi"/>
          <w:sz w:val="22"/>
          <w:szCs w:val="22"/>
        </w:rPr>
        <w:t>, član.</w:t>
      </w:r>
    </w:p>
    <w:p w:rsidR="003C42F6" w:rsidRDefault="003C42F6" w:rsidP="003C42F6">
      <w:pPr>
        <w:contextualSpacing/>
        <w:rPr>
          <w:rFonts w:asciiTheme="minorHAnsi" w:hAnsiTheme="minorHAnsi"/>
          <w:sz w:val="22"/>
          <w:szCs w:val="22"/>
          <w:lang w:val="it-IT"/>
        </w:rPr>
      </w:pPr>
    </w:p>
    <w:p w:rsidR="003C42F6" w:rsidRDefault="003C42F6" w:rsidP="003C42F6">
      <w:pPr>
        <w:contextualSpacing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Stručnu ocenu ponuda sprovela je komisija u sastavu: </w:t>
      </w:r>
    </w:p>
    <w:p w:rsidR="003C42F6" w:rsidRDefault="003C42F6" w:rsidP="003C42F6">
      <w:pPr>
        <w:contextualSpacing/>
        <w:rPr>
          <w:rFonts w:asciiTheme="minorHAnsi" w:hAnsiTheme="minorHAnsi"/>
          <w:sz w:val="22"/>
          <w:szCs w:val="22"/>
          <w:lang w:val="it-IT"/>
        </w:rPr>
      </w:pPr>
    </w:p>
    <w:p w:rsidR="003C42F6" w:rsidRPr="009C76F4" w:rsidRDefault="003C42F6" w:rsidP="003C42F6">
      <w:pPr>
        <w:pStyle w:val="ListParagraph"/>
        <w:numPr>
          <w:ilvl w:val="0"/>
          <w:numId w:val="35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sr-Latn-CS"/>
        </w:rPr>
      </w:pPr>
      <w:r w:rsidRPr="009C76F4">
        <w:rPr>
          <w:rFonts w:asciiTheme="minorHAnsi" w:hAnsiTheme="minorHAnsi" w:cstheme="minorHAnsi"/>
          <w:sz w:val="22"/>
          <w:szCs w:val="22"/>
          <w:lang w:val="sr-Latn-CS"/>
        </w:rPr>
        <w:t>VMT Dragan Kodžo, predsednik komisije,</w:t>
      </w:r>
    </w:p>
    <w:p w:rsidR="003C42F6" w:rsidRPr="009C76F4" w:rsidRDefault="003C42F6" w:rsidP="003C42F6">
      <w:pPr>
        <w:pStyle w:val="ListParagraph"/>
        <w:numPr>
          <w:ilvl w:val="0"/>
          <w:numId w:val="35"/>
        </w:numPr>
        <w:spacing w:after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9C76F4">
        <w:rPr>
          <w:rFonts w:asciiTheme="minorHAnsi" w:hAnsiTheme="minorHAnsi"/>
          <w:sz w:val="22"/>
          <w:szCs w:val="22"/>
          <w:lang w:val="sr-Latn-CS"/>
        </w:rPr>
        <w:t xml:space="preserve">Mr.ph.spec </w:t>
      </w:r>
      <w:r>
        <w:rPr>
          <w:rFonts w:asciiTheme="minorHAnsi" w:hAnsiTheme="minorHAnsi"/>
          <w:sz w:val="22"/>
          <w:szCs w:val="22"/>
          <w:lang w:val="sr-Latn-CS"/>
        </w:rPr>
        <w:t>Ivana Popović,</w:t>
      </w:r>
    </w:p>
    <w:p w:rsidR="003C42F6" w:rsidRPr="009C76F4" w:rsidRDefault="003C42F6" w:rsidP="003C42F6">
      <w:pPr>
        <w:pStyle w:val="ListParagraph"/>
        <w:numPr>
          <w:ilvl w:val="0"/>
          <w:numId w:val="35"/>
        </w:numPr>
        <w:spacing w:after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9C76F4">
        <w:rPr>
          <w:rFonts w:asciiTheme="minorHAnsi" w:hAnsiTheme="minorHAnsi"/>
          <w:sz w:val="22"/>
          <w:szCs w:val="22"/>
          <w:lang w:val="sr-Latn-CS"/>
        </w:rPr>
        <w:t>Željka Jovanović, dipl.ecc.,službenik za javne nabavke</w:t>
      </w:r>
    </w:p>
    <w:p w:rsidR="003C42F6" w:rsidRPr="003C42F6" w:rsidRDefault="003C42F6" w:rsidP="003C42F6">
      <w:pPr>
        <w:pStyle w:val="ListParagraph"/>
        <w:numPr>
          <w:ilvl w:val="0"/>
          <w:numId w:val="35"/>
        </w:numPr>
        <w:spacing w:after="0"/>
        <w:contextualSpacing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>Miloš Kukulj</w:t>
      </w:r>
      <w:r w:rsidRPr="009C76F4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9C76F4">
        <w:rPr>
          <w:rFonts w:asciiTheme="minorHAnsi" w:hAnsiTheme="minorHAnsi"/>
          <w:sz w:val="22"/>
          <w:szCs w:val="22"/>
        </w:rPr>
        <w:t>dipl.pravnik</w:t>
      </w:r>
      <w:proofErr w:type="gramEnd"/>
      <w:r w:rsidRPr="009C76F4">
        <w:rPr>
          <w:rFonts w:asciiTheme="minorHAnsi" w:hAnsiTheme="minorHAnsi"/>
          <w:sz w:val="22"/>
          <w:szCs w:val="22"/>
        </w:rPr>
        <w:t>, član.</w:t>
      </w:r>
    </w:p>
    <w:p w:rsidR="003C42F6" w:rsidRDefault="003C42F6" w:rsidP="003C42F6">
      <w:pPr>
        <w:contextualSpacing/>
        <w:rPr>
          <w:rFonts w:asciiTheme="minorHAnsi" w:hAnsiTheme="minorHAnsi"/>
          <w:sz w:val="22"/>
          <w:szCs w:val="22"/>
          <w:lang w:val="it-IT"/>
        </w:rPr>
      </w:pPr>
    </w:p>
    <w:p w:rsidR="003C42F6" w:rsidRDefault="003C42F6" w:rsidP="003C42F6">
      <w:pPr>
        <w:tabs>
          <w:tab w:val="left" w:pos="8010"/>
        </w:tabs>
        <w:jc w:val="both"/>
        <w:rPr>
          <w:rFonts w:asciiTheme="minorHAnsi" w:hAnsiTheme="minorHAnsi"/>
          <w:sz w:val="22"/>
          <w:szCs w:val="22"/>
          <w:lang w:val="sr-Latn-CS"/>
        </w:rPr>
      </w:pPr>
      <w:r w:rsidRPr="0022395B">
        <w:rPr>
          <w:rFonts w:asciiTheme="minorHAnsi" w:hAnsiTheme="minorHAnsi"/>
          <w:sz w:val="22"/>
          <w:szCs w:val="22"/>
          <w:lang w:val="sr-Latn-CS"/>
        </w:rPr>
        <w:t>U Institut, blagovremeno su pristigle  ponude sledećih ponuđača:</w:t>
      </w:r>
    </w:p>
    <w:p w:rsidR="003C42F6" w:rsidRDefault="003C42F6" w:rsidP="003C42F6">
      <w:pPr>
        <w:tabs>
          <w:tab w:val="left" w:pos="8010"/>
        </w:tabs>
        <w:jc w:val="both"/>
        <w:rPr>
          <w:rFonts w:asciiTheme="minorHAnsi" w:hAnsiTheme="minorHAnsi"/>
          <w:sz w:val="22"/>
          <w:szCs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1941"/>
        <w:gridCol w:w="5480"/>
        <w:gridCol w:w="1275"/>
        <w:gridCol w:w="1024"/>
      </w:tblGrid>
      <w:tr w:rsidR="003C42F6" w:rsidTr="003C42F6">
        <w:tc>
          <w:tcPr>
            <w:tcW w:w="738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1980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Broj pod kojim je ponuda zavredena</w:t>
            </w:r>
          </w:p>
        </w:tc>
        <w:tc>
          <w:tcPr>
            <w:tcW w:w="5656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Naziv ili šifra ponuđača</w:t>
            </w:r>
          </w:p>
        </w:tc>
        <w:tc>
          <w:tcPr>
            <w:tcW w:w="1275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Datum prijema</w:t>
            </w:r>
          </w:p>
        </w:tc>
        <w:tc>
          <w:tcPr>
            <w:tcW w:w="1034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Vreme</w:t>
            </w:r>
          </w:p>
        </w:tc>
      </w:tr>
      <w:tr w:rsidR="003C42F6" w:rsidTr="003C42F6">
        <w:tc>
          <w:tcPr>
            <w:tcW w:w="738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0" w:type="dxa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22-88</w:t>
            </w:r>
          </w:p>
        </w:tc>
        <w:tc>
          <w:tcPr>
            <w:tcW w:w="5656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„VICOR“, Bulevar Maršala Tolbuhina 42, Beograd</w:t>
            </w:r>
          </w:p>
        </w:tc>
        <w:tc>
          <w:tcPr>
            <w:tcW w:w="1275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14.03.2019.</w:t>
            </w:r>
          </w:p>
        </w:tc>
        <w:tc>
          <w:tcPr>
            <w:tcW w:w="1034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11.00</w:t>
            </w:r>
          </w:p>
        </w:tc>
      </w:tr>
      <w:tr w:rsidR="003C42F6" w:rsidTr="003C42F6">
        <w:tc>
          <w:tcPr>
            <w:tcW w:w="738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980" w:type="dxa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22-90</w:t>
            </w:r>
          </w:p>
        </w:tc>
        <w:tc>
          <w:tcPr>
            <w:tcW w:w="5656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„Sinofarm“doo, Koste Nađa 31, Beograd</w:t>
            </w:r>
          </w:p>
        </w:tc>
        <w:tc>
          <w:tcPr>
            <w:tcW w:w="1275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14.03.2019.</w:t>
            </w:r>
          </w:p>
        </w:tc>
        <w:tc>
          <w:tcPr>
            <w:tcW w:w="1034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13.30</w:t>
            </w:r>
          </w:p>
        </w:tc>
      </w:tr>
      <w:tr w:rsidR="003C42F6" w:rsidTr="003C42F6">
        <w:tc>
          <w:tcPr>
            <w:tcW w:w="738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980" w:type="dxa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22-91</w:t>
            </w:r>
          </w:p>
        </w:tc>
        <w:tc>
          <w:tcPr>
            <w:tcW w:w="5656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„Farmalogist“doo, Mirijevski bulevar 3, Beograd</w:t>
            </w:r>
          </w:p>
        </w:tc>
        <w:tc>
          <w:tcPr>
            <w:tcW w:w="1275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15.03.2019.</w:t>
            </w:r>
          </w:p>
        </w:tc>
        <w:tc>
          <w:tcPr>
            <w:tcW w:w="1034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08.30</w:t>
            </w:r>
          </w:p>
        </w:tc>
      </w:tr>
      <w:tr w:rsidR="003C42F6" w:rsidTr="003C42F6">
        <w:tc>
          <w:tcPr>
            <w:tcW w:w="738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980" w:type="dxa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22-93</w:t>
            </w:r>
          </w:p>
        </w:tc>
        <w:tc>
          <w:tcPr>
            <w:tcW w:w="5656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„ORTHOAID“doo, Pasterova 1, Beograd</w:t>
            </w:r>
          </w:p>
        </w:tc>
        <w:tc>
          <w:tcPr>
            <w:tcW w:w="1275" w:type="dxa"/>
          </w:tcPr>
          <w:p w:rsidR="003C42F6" w:rsidRDefault="003C42F6" w:rsidP="003C42F6">
            <w:pPr>
              <w:tabs>
                <w:tab w:val="left" w:pos="8010"/>
              </w:tabs>
              <w:jc w:val="both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15.03.2019.</w:t>
            </w:r>
          </w:p>
        </w:tc>
        <w:tc>
          <w:tcPr>
            <w:tcW w:w="1034" w:type="dxa"/>
            <w:vAlign w:val="bottom"/>
          </w:tcPr>
          <w:p w:rsidR="003C42F6" w:rsidRDefault="003C42F6" w:rsidP="003C42F6">
            <w:pPr>
              <w:tabs>
                <w:tab w:val="left" w:pos="8010"/>
              </w:tabs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09.35</w:t>
            </w:r>
          </w:p>
        </w:tc>
      </w:tr>
    </w:tbl>
    <w:p w:rsidR="003C42F6" w:rsidRPr="0022395B" w:rsidRDefault="003C42F6" w:rsidP="003C42F6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22395B">
        <w:rPr>
          <w:rFonts w:asciiTheme="minorHAnsi" w:hAnsiTheme="minorHAnsi"/>
          <w:sz w:val="22"/>
          <w:szCs w:val="22"/>
          <w:lang w:val="sr-Latn-CS"/>
        </w:rPr>
        <w:t xml:space="preserve">       </w:t>
      </w:r>
    </w:p>
    <w:p w:rsidR="003C42F6" w:rsidRDefault="003C42F6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C42F6" w:rsidRDefault="003C42F6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78724F" w:rsidRDefault="0078724F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78724F" w:rsidRDefault="0078724F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78724F" w:rsidRDefault="0078724F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C42F6" w:rsidRDefault="003C42F6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  <w:r w:rsidRPr="007F54D2">
        <w:rPr>
          <w:rFonts w:asciiTheme="minorHAnsi" w:hAnsiTheme="minorHAnsi"/>
          <w:b/>
          <w:sz w:val="22"/>
          <w:szCs w:val="22"/>
          <w:u w:val="single"/>
          <w:lang w:val="sr-Latn-CS"/>
        </w:rPr>
        <w:t>USLOVI IZ PONUDA PONUĐAČA</w:t>
      </w:r>
      <w:r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  </w:t>
      </w:r>
    </w:p>
    <w:p w:rsidR="003C42F6" w:rsidRDefault="003C42F6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C42F6" w:rsidRDefault="003C42F6" w:rsidP="003C42F6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3C42F6" w:rsidRDefault="003C42F6" w:rsidP="003C42F6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  <w:lang w:val="sr-Latn-CS"/>
        </w:rPr>
        <w:t xml:space="preserve"> </w:t>
      </w:r>
      <w:r w:rsidRPr="00FD6003">
        <w:rPr>
          <w:rFonts w:asciiTheme="minorHAnsi" w:hAnsiTheme="minorHAnsi"/>
          <w:b/>
          <w:sz w:val="22"/>
          <w:szCs w:val="22"/>
          <w:lang w:val="sr-Latn-CS"/>
        </w:rPr>
        <w:t>PARTIJA I-</w:t>
      </w:r>
      <w:r w:rsidRPr="00FD6003">
        <w:rPr>
          <w:rFonts w:asciiTheme="minorHAnsi" w:hAnsiTheme="minorHAnsi"/>
          <w:b/>
          <w:color w:val="000000"/>
          <w:sz w:val="22"/>
          <w:szCs w:val="22"/>
        </w:rPr>
        <w:t xml:space="preserve"> ZATVORENI SISTEMI ZA PRIMENU CITOTOKSIČNIH LEKOVA</w:t>
      </w:r>
    </w:p>
    <w:tbl>
      <w:tblPr>
        <w:tblpPr w:leftFromText="180" w:rightFromText="180" w:bottomFromText="200" w:vertAnchor="text" w:horzAnchor="margin" w:tblpX="-176" w:tblpY="132"/>
        <w:tblW w:w="10740" w:type="dxa"/>
        <w:tblLayout w:type="fixed"/>
        <w:tblLook w:val="04A0" w:firstRow="1" w:lastRow="0" w:firstColumn="1" w:lastColumn="0" w:noHBand="0" w:noVBand="1"/>
      </w:tblPr>
      <w:tblGrid>
        <w:gridCol w:w="288"/>
        <w:gridCol w:w="10452"/>
      </w:tblGrid>
      <w:tr w:rsidR="003C42F6" w:rsidTr="003C42F6">
        <w:trPr>
          <w:trHeight w:val="262"/>
        </w:trPr>
        <w:tc>
          <w:tcPr>
            <w:tcW w:w="288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ind w:left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52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42F6">
              <w:rPr>
                <w:rFonts w:asciiTheme="minorHAnsi" w:hAnsiTheme="minorHAnsi" w:cs="Arial"/>
                <w:color w:val="000000"/>
                <w:sz w:val="22"/>
                <w:szCs w:val="22"/>
              </w:rPr>
              <w:t>Injektor zatvorenog sistema za pripremu, transfer i primenu leka</w:t>
            </w:r>
          </w:p>
        </w:tc>
      </w:tr>
      <w:tr w:rsidR="003C42F6" w:rsidTr="003C42F6">
        <w:trPr>
          <w:trHeight w:val="262"/>
        </w:trPr>
        <w:tc>
          <w:tcPr>
            <w:tcW w:w="288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ind w:left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52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42F6">
              <w:rPr>
                <w:rFonts w:asciiTheme="minorHAnsi" w:hAnsiTheme="minorHAnsi" w:cs="Arial"/>
                <w:color w:val="000000"/>
                <w:sz w:val="22"/>
                <w:szCs w:val="22"/>
              </w:rPr>
              <w:t>Protektor zatvorenog sistema za pripremu, transfer i primenu leka sa ekspanzionom komorom</w:t>
            </w:r>
          </w:p>
        </w:tc>
      </w:tr>
      <w:tr w:rsidR="003C42F6" w:rsidTr="003C42F6">
        <w:trPr>
          <w:trHeight w:val="262"/>
        </w:trPr>
        <w:tc>
          <w:tcPr>
            <w:tcW w:w="288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ind w:left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52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42F6">
              <w:rPr>
                <w:rFonts w:asciiTheme="minorHAnsi" w:hAnsiTheme="minorHAnsi" w:cs="Arial"/>
                <w:color w:val="000000"/>
                <w:sz w:val="22"/>
                <w:szCs w:val="22"/>
              </w:rPr>
              <w:t>Infuzioni adapter zatvorenog sistema za pripremu, transfer i primenu leka</w:t>
            </w:r>
          </w:p>
        </w:tc>
      </w:tr>
      <w:tr w:rsidR="003C42F6" w:rsidTr="003C42F6">
        <w:trPr>
          <w:trHeight w:val="262"/>
        </w:trPr>
        <w:tc>
          <w:tcPr>
            <w:tcW w:w="288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ind w:left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452" w:type="dxa"/>
            <w:shd w:val="clear" w:color="auto" w:fill="FFFFFF" w:themeFill="background1"/>
            <w:vAlign w:val="bottom"/>
            <w:hideMark/>
          </w:tcPr>
          <w:p w:rsidR="003C42F6" w:rsidRPr="003C42F6" w:rsidRDefault="003C42F6" w:rsidP="003C42F6">
            <w:pPr>
              <w:pStyle w:val="ListParagraph"/>
              <w:numPr>
                <w:ilvl w:val="0"/>
                <w:numId w:val="36"/>
              </w:numPr>
              <w:spacing w:after="0"/>
              <w:ind w:left="36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42F6">
              <w:rPr>
                <w:rFonts w:asciiTheme="minorHAnsi" w:hAnsiTheme="minorHAnsi" w:cs="Arial"/>
                <w:color w:val="000000"/>
                <w:sz w:val="22"/>
                <w:szCs w:val="22"/>
              </w:rPr>
              <w:t>Konektor zatvorenog sistema za pripremu, transfer i primenu leka</w:t>
            </w:r>
          </w:p>
        </w:tc>
      </w:tr>
    </w:tbl>
    <w:p w:rsidR="003C42F6" w:rsidRDefault="003C42F6" w:rsidP="003C42F6">
      <w:pPr>
        <w:pStyle w:val="ListParagraph"/>
        <w:spacing w:after="0" w:line="240" w:lineRule="auto"/>
        <w:ind w:left="0"/>
        <w:contextualSpacing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Y="-9"/>
        <w:tblW w:w="9738" w:type="dxa"/>
        <w:tblLayout w:type="fixed"/>
        <w:tblLook w:val="04A0" w:firstRow="1" w:lastRow="0" w:firstColumn="1" w:lastColumn="0" w:noHBand="0" w:noVBand="1"/>
      </w:tblPr>
      <w:tblGrid>
        <w:gridCol w:w="4788"/>
        <w:gridCol w:w="4950"/>
      </w:tblGrid>
      <w:tr w:rsidR="003C42F6" w:rsidTr="003C42F6">
        <w:trPr>
          <w:gridAfter w:val="1"/>
          <w:wAfter w:w="4950" w:type="dxa"/>
          <w:trHeight w:val="260"/>
        </w:trPr>
        <w:tc>
          <w:tcPr>
            <w:tcW w:w="4788" w:type="dxa"/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C42F6" w:rsidTr="003C42F6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ORTHOAID</w:t>
            </w:r>
          </w:p>
        </w:tc>
      </w:tr>
      <w:tr w:rsidR="003C42F6" w:rsidTr="003C42F6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Ponuđena vrednost </w:t>
            </w:r>
            <w:proofErr w:type="gramStart"/>
            <w:r w:rsidRPr="007F54D2">
              <w:rPr>
                <w:rFonts w:asciiTheme="minorHAnsi" w:hAnsiTheme="minorHAnsi"/>
                <w:sz w:val="22"/>
                <w:szCs w:val="22"/>
              </w:rPr>
              <w:t>partije(</w:t>
            </w:r>
            <w:proofErr w:type="gramEnd"/>
            <w:r w:rsidRPr="007F54D2">
              <w:rPr>
                <w:rFonts w:asciiTheme="minorHAnsi" w:hAnsiTheme="minorHAnsi"/>
                <w:sz w:val="22"/>
                <w:szCs w:val="22"/>
              </w:rPr>
              <w:t>bez pdv)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7.230.000,00</w:t>
            </w:r>
          </w:p>
        </w:tc>
      </w:tr>
      <w:tr w:rsidR="003C42F6" w:rsidTr="003C42F6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dana</w:t>
            </w:r>
          </w:p>
        </w:tc>
      </w:tr>
      <w:tr w:rsidR="003C42F6" w:rsidTr="003C42F6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F- co magacin </w:t>
            </w:r>
            <w:r>
              <w:rPr>
                <w:rFonts w:asciiTheme="minorHAnsi" w:hAnsiTheme="minorHAnsi"/>
                <w:sz w:val="22"/>
                <w:szCs w:val="22"/>
              </w:rPr>
              <w:t>Instituta</w:t>
            </w:r>
          </w:p>
        </w:tc>
      </w:tr>
      <w:tr w:rsidR="003C42F6" w:rsidTr="003C42F6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  <w:r>
              <w:rPr>
                <w:rFonts w:asciiTheme="minorHAnsi" w:hAnsiTheme="minorHAnsi"/>
                <w:sz w:val="22"/>
                <w:szCs w:val="22"/>
              </w:rPr>
              <w:t>, virmanom</w:t>
            </w:r>
          </w:p>
        </w:tc>
      </w:tr>
      <w:tr w:rsidR="003C42F6" w:rsidTr="003C42F6">
        <w:trPr>
          <w:trHeight w:val="2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</w:p>
        </w:tc>
      </w:tr>
    </w:tbl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  <w:r w:rsidRPr="007B0F5A">
        <w:rPr>
          <w:rFonts w:asciiTheme="minorHAnsi" w:hAnsiTheme="minorHAnsi" w:cs="Arial"/>
          <w:bCs/>
          <w:color w:val="000000"/>
          <w:sz w:val="22"/>
          <w:szCs w:val="22"/>
        </w:rPr>
        <w:t>Jedina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pristigla i prihvatljiva ponuda za predmetnu partiju je </w:t>
      </w:r>
      <w:proofErr w:type="gramStart"/>
      <w:r>
        <w:rPr>
          <w:rFonts w:asciiTheme="minorHAnsi" w:hAnsiTheme="minorHAnsi" w:cs="Arial"/>
          <w:bCs/>
          <w:color w:val="000000"/>
          <w:sz w:val="22"/>
          <w:szCs w:val="22"/>
        </w:rPr>
        <w:t>ponuda”ORTHOAID</w:t>
      </w:r>
      <w:proofErr w:type="gramEnd"/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”doo. </w:t>
      </w:r>
    </w:p>
    <w:p w:rsidR="00B94B62" w:rsidRDefault="00B94B62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C42F6" w:rsidRPr="00FD6003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D6003">
        <w:rPr>
          <w:rFonts w:asciiTheme="minorHAnsi" w:hAnsiTheme="minorHAnsi" w:cs="Arial"/>
          <w:b/>
          <w:bCs/>
          <w:color w:val="000000"/>
          <w:sz w:val="22"/>
          <w:szCs w:val="22"/>
        </w:rPr>
        <w:t>PARTIJA II-</w:t>
      </w:r>
      <w:r w:rsidRPr="00FD6003">
        <w:rPr>
          <w:rFonts w:asciiTheme="minorHAnsi" w:hAnsiTheme="minorHAnsi"/>
          <w:b/>
          <w:color w:val="000000"/>
          <w:sz w:val="22"/>
          <w:szCs w:val="22"/>
        </w:rPr>
        <w:t xml:space="preserve"> ZATVORENI SISTEMI ZA PRIPREMU, TRANSFER I PRIMENU CITOTOKSIČNIH LEKOVA SA ZVUČNIM KLIKOM</w:t>
      </w:r>
    </w:p>
    <w:tbl>
      <w:tblPr>
        <w:tblpPr w:leftFromText="180" w:rightFromText="180" w:bottomFromText="200" w:vertAnchor="text" w:horzAnchor="margin" w:tblpX="148" w:tblpY="132"/>
        <w:tblW w:w="10416" w:type="dxa"/>
        <w:tblLayout w:type="fixed"/>
        <w:tblLook w:val="04A0" w:firstRow="1" w:lastRow="0" w:firstColumn="1" w:lastColumn="0" w:noHBand="0" w:noVBand="1"/>
      </w:tblPr>
      <w:tblGrid>
        <w:gridCol w:w="10416"/>
      </w:tblGrid>
      <w:tr w:rsidR="003C42F6" w:rsidTr="008358C6">
        <w:trPr>
          <w:trHeight w:val="262"/>
        </w:trPr>
        <w:tc>
          <w:tcPr>
            <w:tcW w:w="10416" w:type="dxa"/>
            <w:shd w:val="clear" w:color="auto" w:fill="FFFFFF" w:themeFill="background1"/>
            <w:vAlign w:val="bottom"/>
            <w:hideMark/>
          </w:tcPr>
          <w:p w:rsidR="003C42F6" w:rsidRPr="00B94B62" w:rsidRDefault="003C42F6" w:rsidP="00B94B62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94B62">
              <w:rPr>
                <w:rFonts w:asciiTheme="minorHAnsi" w:hAnsiTheme="minorHAnsi" w:cs="Arial"/>
                <w:color w:val="000000"/>
                <w:sz w:val="22"/>
                <w:szCs w:val="22"/>
              </w:rPr>
              <w:t>Nastavak za špric sa zvučnim klikom i zaštitnom kapicom bez mogućnosti korišćenja nesterilisanog vazduha iz spoljne sredine</w:t>
            </w:r>
          </w:p>
        </w:tc>
      </w:tr>
      <w:tr w:rsidR="003C42F6" w:rsidTr="008358C6">
        <w:trPr>
          <w:trHeight w:val="262"/>
        </w:trPr>
        <w:tc>
          <w:tcPr>
            <w:tcW w:w="10416" w:type="dxa"/>
            <w:shd w:val="clear" w:color="auto" w:fill="FFFFFF" w:themeFill="background1"/>
            <w:vAlign w:val="bottom"/>
            <w:hideMark/>
          </w:tcPr>
          <w:p w:rsidR="003C42F6" w:rsidRPr="00B94B62" w:rsidRDefault="003C42F6" w:rsidP="00B94B62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94B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Nastavak za bočicu promera 20 </w:t>
            </w:r>
            <w:proofErr w:type="gramStart"/>
            <w:r w:rsidRPr="00B94B62">
              <w:rPr>
                <w:rFonts w:asciiTheme="minorHAnsi" w:hAnsiTheme="minorHAnsi" w:cs="Arial"/>
                <w:color w:val="000000"/>
                <w:sz w:val="22"/>
                <w:szCs w:val="22"/>
              </w:rPr>
              <w:t>mm  sa</w:t>
            </w:r>
            <w:proofErr w:type="gramEnd"/>
            <w:r w:rsidRPr="00B94B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zvucnim klikom i sa zaštitnom kapicom i dodatnim adapterom za bočice promera 13 mm</w:t>
            </w:r>
          </w:p>
        </w:tc>
      </w:tr>
      <w:tr w:rsidR="003C42F6" w:rsidTr="008358C6">
        <w:trPr>
          <w:trHeight w:val="262"/>
        </w:trPr>
        <w:tc>
          <w:tcPr>
            <w:tcW w:w="10416" w:type="dxa"/>
            <w:shd w:val="clear" w:color="auto" w:fill="FFFFFF" w:themeFill="background1"/>
            <w:vAlign w:val="bottom"/>
            <w:hideMark/>
          </w:tcPr>
          <w:p w:rsidR="003C42F6" w:rsidRPr="00B94B62" w:rsidRDefault="003C42F6" w:rsidP="00B94B62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94B62">
              <w:rPr>
                <w:rFonts w:asciiTheme="minorHAnsi" w:hAnsiTheme="minorHAnsi" w:cs="Arial"/>
                <w:color w:val="000000"/>
                <w:sz w:val="22"/>
                <w:szCs w:val="22"/>
              </w:rPr>
              <w:t>Nastavak za aplikaciju</w:t>
            </w:r>
          </w:p>
        </w:tc>
      </w:tr>
      <w:tr w:rsidR="003C42F6" w:rsidTr="003C42F6">
        <w:trPr>
          <w:trHeight w:val="262"/>
        </w:trPr>
        <w:tc>
          <w:tcPr>
            <w:tcW w:w="10416" w:type="dxa"/>
            <w:shd w:val="clear" w:color="auto" w:fill="FFFFFF" w:themeFill="background1"/>
            <w:vAlign w:val="bottom"/>
            <w:hideMark/>
          </w:tcPr>
          <w:p w:rsidR="003C42F6" w:rsidRPr="00B94B62" w:rsidRDefault="003C42F6" w:rsidP="00B94B62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94B62">
              <w:rPr>
                <w:rFonts w:asciiTheme="minorHAnsi" w:hAnsiTheme="minorHAnsi" w:cs="Arial"/>
                <w:color w:val="000000"/>
                <w:sz w:val="22"/>
                <w:szCs w:val="22"/>
              </w:rPr>
              <w:t>Nastavak sa luer lock priključkom</w:t>
            </w:r>
          </w:p>
          <w:p w:rsidR="003C42F6" w:rsidRDefault="003C42F6" w:rsidP="008358C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3C42F6" w:rsidRDefault="003C42F6" w:rsidP="008358C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Y="-9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4788"/>
              <w:gridCol w:w="4657"/>
            </w:tblGrid>
            <w:tr w:rsidR="003C42F6" w:rsidTr="003C42F6">
              <w:trPr>
                <w:trHeight w:val="260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3C42F6" w:rsidRPr="007F54D2" w:rsidRDefault="003C42F6" w:rsidP="008358C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Naziv ponuđača: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2F6" w:rsidRPr="007F54D2" w:rsidRDefault="003C42F6" w:rsidP="003C42F6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FARMALOGIST</w:t>
                  </w:r>
                </w:p>
              </w:tc>
            </w:tr>
            <w:tr w:rsidR="003C42F6" w:rsidTr="003C42F6">
              <w:trPr>
                <w:trHeight w:val="260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42F6" w:rsidRPr="007F54D2" w:rsidRDefault="003C42F6" w:rsidP="008358C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Ponuđena vrednost </w:t>
                  </w:r>
                  <w:proofErr w:type="gramStart"/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partije(</w:t>
                  </w:r>
                  <w:proofErr w:type="gramEnd"/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bez pdv)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2F6" w:rsidRPr="007F54D2" w:rsidRDefault="003C42F6" w:rsidP="003C42F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22.362.870,00</w:t>
                  </w:r>
                </w:p>
              </w:tc>
            </w:tr>
            <w:tr w:rsidR="003C42F6" w:rsidTr="003C42F6">
              <w:trPr>
                <w:trHeight w:val="260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42F6" w:rsidRPr="007F54D2" w:rsidRDefault="003C42F6" w:rsidP="008358C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Rok isporuke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2F6" w:rsidRPr="007F54D2" w:rsidRDefault="003C42F6" w:rsidP="003C42F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1 dan</w:t>
                  </w:r>
                </w:p>
              </w:tc>
            </w:tr>
            <w:tr w:rsidR="003C42F6" w:rsidTr="003C42F6">
              <w:trPr>
                <w:trHeight w:val="260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42F6" w:rsidRPr="007F54D2" w:rsidRDefault="003C42F6" w:rsidP="008358C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Mesto isporuke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2F6" w:rsidRPr="007F54D2" w:rsidRDefault="003C42F6" w:rsidP="003C42F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F- co magacin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Instituta</w:t>
                  </w:r>
                </w:p>
              </w:tc>
            </w:tr>
            <w:tr w:rsidR="003C42F6" w:rsidTr="003C42F6">
              <w:trPr>
                <w:trHeight w:val="260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42F6" w:rsidRPr="007F54D2" w:rsidRDefault="003C42F6" w:rsidP="008358C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Rok i način plaćanja 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2F6" w:rsidRPr="007F54D2" w:rsidRDefault="003C42F6" w:rsidP="003C42F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90</w:t>
                  </w: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 dana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 virmanom</w:t>
                  </w:r>
                </w:p>
              </w:tc>
            </w:tr>
            <w:tr w:rsidR="003C42F6" w:rsidTr="003C42F6">
              <w:trPr>
                <w:trHeight w:val="260"/>
              </w:trPr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42F6" w:rsidRPr="007F54D2" w:rsidRDefault="003C42F6" w:rsidP="008358C6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Važnost ponude </w:t>
                  </w: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42F6" w:rsidRPr="007F54D2" w:rsidRDefault="003C42F6" w:rsidP="003C42F6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>12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0</w:t>
                  </w:r>
                  <w:r w:rsidRPr="007F54D2">
                    <w:rPr>
                      <w:rFonts w:asciiTheme="minorHAnsi" w:hAnsiTheme="minorHAnsi"/>
                      <w:sz w:val="22"/>
                      <w:szCs w:val="22"/>
                    </w:rPr>
                    <w:t xml:space="preserve"> dana</w:t>
                  </w:r>
                </w:p>
              </w:tc>
            </w:tr>
          </w:tbl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3C42F6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3C42F6" w:rsidRPr="000112C1" w:rsidRDefault="003C42F6" w:rsidP="008358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7B0F5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Jedina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pristigla i prihvatljiva ponuda za predmetnu partiju je </w:t>
            </w:r>
            <w:proofErr w:type="gramStart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ponuda”FARMALOGIST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”doo. </w:t>
            </w:r>
          </w:p>
        </w:tc>
      </w:tr>
    </w:tbl>
    <w:p w:rsidR="003C42F6" w:rsidRPr="007B0F5A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FD6003">
        <w:rPr>
          <w:rFonts w:asciiTheme="minorHAnsi" w:hAnsiTheme="minorHAnsi" w:cs="Arial"/>
          <w:b/>
          <w:bCs/>
          <w:color w:val="000000"/>
          <w:sz w:val="22"/>
          <w:szCs w:val="22"/>
        </w:rPr>
        <w:t>PARTIJA III-</w:t>
      </w:r>
      <w:r w:rsidRPr="00FD6003">
        <w:rPr>
          <w:rFonts w:asciiTheme="minorHAnsi" w:hAnsiTheme="minorHAnsi"/>
          <w:b/>
          <w:color w:val="000000"/>
          <w:sz w:val="22"/>
          <w:szCs w:val="22"/>
        </w:rPr>
        <w:t xml:space="preserve"> PODLOGA ZA PRIMENU CITOSTATIKA</w:t>
      </w:r>
    </w:p>
    <w:p w:rsidR="00B94B62" w:rsidRPr="00FD6003" w:rsidRDefault="00B94B62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C42F6" w:rsidRPr="00FD6003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  <w:r w:rsidRPr="00FD6003">
        <w:rPr>
          <w:rFonts w:asciiTheme="minorHAnsi" w:hAnsiTheme="minorHAnsi" w:cs="Arial"/>
          <w:bCs/>
          <w:color w:val="000000"/>
          <w:sz w:val="22"/>
          <w:szCs w:val="22"/>
        </w:rPr>
        <w:t xml:space="preserve">Za predmetnu </w:t>
      </w:r>
      <w:proofErr w:type="gramStart"/>
      <w:r w:rsidRPr="00FD6003">
        <w:rPr>
          <w:rFonts w:asciiTheme="minorHAnsi" w:hAnsiTheme="minorHAnsi" w:cs="Arial"/>
          <w:bCs/>
          <w:color w:val="000000"/>
          <w:sz w:val="22"/>
          <w:szCs w:val="22"/>
        </w:rPr>
        <w:t>partiju ,</w:t>
      </w:r>
      <w:proofErr w:type="gramEnd"/>
      <w:r w:rsidRPr="00FD6003">
        <w:rPr>
          <w:rFonts w:asciiTheme="minorHAnsi" w:hAnsiTheme="minorHAnsi" w:cs="Arial"/>
          <w:bCs/>
          <w:color w:val="000000"/>
          <w:sz w:val="22"/>
          <w:szCs w:val="22"/>
        </w:rPr>
        <w:t xml:space="preserve"> Naručiocu nije pristigla nijedna ponuda</w:t>
      </w:r>
    </w:p>
    <w:p w:rsidR="00B94B62" w:rsidRDefault="00B94B62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FD6003">
        <w:rPr>
          <w:rFonts w:asciiTheme="minorHAnsi" w:hAnsiTheme="minorHAnsi" w:cs="Arial"/>
          <w:b/>
          <w:bCs/>
          <w:color w:val="000000"/>
          <w:sz w:val="22"/>
          <w:szCs w:val="22"/>
        </w:rPr>
        <w:t>PARTIJA IV-</w:t>
      </w:r>
      <w:r w:rsidRPr="00FD600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D6003">
        <w:rPr>
          <w:rFonts w:asciiTheme="minorHAnsi" w:hAnsiTheme="minorHAnsi"/>
          <w:b/>
          <w:color w:val="000000"/>
          <w:sz w:val="22"/>
          <w:szCs w:val="22"/>
        </w:rPr>
        <w:t>MANTILI NESTERILINI ZA JEDNOKRATNU UPOTREBU</w:t>
      </w:r>
    </w:p>
    <w:p w:rsidR="00B94B62" w:rsidRPr="00FD6003" w:rsidRDefault="00B94B62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C42F6" w:rsidRPr="00FD6003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Cs/>
          <w:color w:val="000000"/>
          <w:sz w:val="22"/>
          <w:szCs w:val="22"/>
        </w:rPr>
      </w:pPr>
      <w:r w:rsidRPr="00FD6003">
        <w:rPr>
          <w:rFonts w:asciiTheme="minorHAnsi" w:hAnsiTheme="minorHAnsi" w:cs="Arial"/>
          <w:bCs/>
          <w:color w:val="000000"/>
          <w:sz w:val="22"/>
          <w:szCs w:val="22"/>
        </w:rPr>
        <w:t xml:space="preserve">Za predmetnu </w:t>
      </w:r>
      <w:proofErr w:type="gramStart"/>
      <w:r w:rsidRPr="00FD6003">
        <w:rPr>
          <w:rFonts w:asciiTheme="minorHAnsi" w:hAnsiTheme="minorHAnsi" w:cs="Arial"/>
          <w:bCs/>
          <w:color w:val="000000"/>
          <w:sz w:val="22"/>
          <w:szCs w:val="22"/>
        </w:rPr>
        <w:t>partiju ,</w:t>
      </w:r>
      <w:proofErr w:type="gramEnd"/>
      <w:r w:rsidRPr="00FD6003">
        <w:rPr>
          <w:rFonts w:asciiTheme="minorHAnsi" w:hAnsiTheme="minorHAnsi" w:cs="Arial"/>
          <w:bCs/>
          <w:color w:val="000000"/>
          <w:sz w:val="22"/>
          <w:szCs w:val="22"/>
        </w:rPr>
        <w:t xml:space="preserve"> Naručiocu nije pristigla nijedna ponuda</w:t>
      </w: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3C42F6" w:rsidRDefault="003C42F6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b/>
          <w:color w:val="000000"/>
          <w:sz w:val="22"/>
          <w:szCs w:val="22"/>
        </w:rPr>
      </w:pPr>
      <w:r w:rsidRPr="00FD6003">
        <w:rPr>
          <w:rFonts w:asciiTheme="minorHAnsi" w:hAnsiTheme="minorHAnsi"/>
          <w:b/>
          <w:color w:val="000000"/>
          <w:sz w:val="22"/>
          <w:szCs w:val="22"/>
        </w:rPr>
        <w:t xml:space="preserve">PARTIJA V-ZAŠTITNE RUKAVICE </w:t>
      </w:r>
      <w:r>
        <w:rPr>
          <w:rFonts w:asciiTheme="minorHAnsi" w:hAnsiTheme="minorHAnsi"/>
          <w:b/>
          <w:color w:val="000000"/>
          <w:sz w:val="22"/>
          <w:szCs w:val="22"/>
        </w:rPr>
        <w:t>Z</w:t>
      </w:r>
      <w:r w:rsidRPr="00FD6003">
        <w:rPr>
          <w:rFonts w:asciiTheme="minorHAnsi" w:hAnsiTheme="minorHAnsi"/>
          <w:b/>
          <w:color w:val="000000"/>
          <w:sz w:val="22"/>
          <w:szCs w:val="22"/>
        </w:rPr>
        <w:t>A RAD SA CITOSTATICIMA</w:t>
      </w:r>
      <w:r>
        <w:rPr>
          <w:rFonts w:asciiTheme="minorHAnsi" w:hAnsiTheme="minorHAnsi"/>
          <w:b/>
          <w:color w:val="000000"/>
          <w:sz w:val="22"/>
          <w:szCs w:val="22"/>
        </w:rPr>
        <w:t>-</w:t>
      </w:r>
      <w:r w:rsidRPr="00FD6003">
        <w:rPr>
          <w:rFonts w:asciiTheme="minorHAnsi" w:hAnsiTheme="minorHAnsi"/>
          <w:b/>
          <w:color w:val="000000"/>
          <w:sz w:val="22"/>
          <w:szCs w:val="22"/>
        </w:rPr>
        <w:t xml:space="preserve"> NITRILNE</w:t>
      </w:r>
    </w:p>
    <w:p w:rsidR="00B94B62" w:rsidRPr="00FD6003" w:rsidRDefault="00B94B62" w:rsidP="003C42F6">
      <w:pPr>
        <w:pStyle w:val="ListParagraph"/>
        <w:spacing w:after="0" w:line="240" w:lineRule="auto"/>
        <w:ind w:left="0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="392" w:tblpY="161"/>
        <w:tblOverlap w:val="never"/>
        <w:tblW w:w="10098" w:type="dxa"/>
        <w:tblLook w:val="04A0" w:firstRow="1" w:lastRow="0" w:firstColumn="1" w:lastColumn="0" w:noHBand="0" w:noVBand="1"/>
      </w:tblPr>
      <w:tblGrid>
        <w:gridCol w:w="3348"/>
        <w:gridCol w:w="3510"/>
        <w:gridCol w:w="3240"/>
      </w:tblGrid>
      <w:tr w:rsidR="003C42F6" w:rsidRPr="007F54D2" w:rsidTr="003C42F6">
        <w:tc>
          <w:tcPr>
            <w:tcW w:w="3348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Naziv ponuđača:</w:t>
            </w:r>
          </w:p>
        </w:tc>
        <w:tc>
          <w:tcPr>
            <w:tcW w:w="3510" w:type="dxa"/>
            <w:vAlign w:val="bottom"/>
          </w:tcPr>
          <w:p w:rsidR="003C42F6" w:rsidRPr="007F54D2" w:rsidRDefault="003C42F6" w:rsidP="003C42F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FARMALOGIST</w:t>
            </w:r>
          </w:p>
        </w:tc>
        <w:tc>
          <w:tcPr>
            <w:tcW w:w="3240" w:type="dxa"/>
            <w:vAlign w:val="bottom"/>
          </w:tcPr>
          <w:p w:rsidR="003C42F6" w:rsidRPr="007F54D2" w:rsidRDefault="003C42F6" w:rsidP="003C42F6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SINOFARM</w:t>
            </w:r>
          </w:p>
        </w:tc>
      </w:tr>
      <w:tr w:rsidR="003C42F6" w:rsidRPr="007F54D2" w:rsidTr="003C42F6">
        <w:tc>
          <w:tcPr>
            <w:tcW w:w="3348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Ponuđena vrednost </w:t>
            </w:r>
            <w:proofErr w:type="gramStart"/>
            <w:r w:rsidRPr="007F54D2">
              <w:rPr>
                <w:rFonts w:asciiTheme="minorHAnsi" w:hAnsiTheme="minorHAnsi"/>
                <w:sz w:val="22"/>
                <w:szCs w:val="22"/>
              </w:rPr>
              <w:t>partije(</w:t>
            </w:r>
            <w:proofErr w:type="gramEnd"/>
            <w:r w:rsidRPr="007F54D2">
              <w:rPr>
                <w:rFonts w:asciiTheme="minorHAnsi" w:hAnsiTheme="minorHAnsi"/>
                <w:sz w:val="22"/>
                <w:szCs w:val="22"/>
              </w:rPr>
              <w:t>bez pdv)</w:t>
            </w:r>
          </w:p>
        </w:tc>
        <w:tc>
          <w:tcPr>
            <w:tcW w:w="351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336.160,00</w:t>
            </w:r>
          </w:p>
        </w:tc>
        <w:tc>
          <w:tcPr>
            <w:tcW w:w="324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142.500,00</w:t>
            </w:r>
          </w:p>
        </w:tc>
      </w:tr>
      <w:tr w:rsidR="003C42F6" w:rsidRPr="007F54D2" w:rsidTr="003C42F6">
        <w:tc>
          <w:tcPr>
            <w:tcW w:w="3348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Rok isporuke</w:t>
            </w:r>
          </w:p>
        </w:tc>
        <w:tc>
          <w:tcPr>
            <w:tcW w:w="351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dan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</w:t>
            </w:r>
          </w:p>
        </w:tc>
      </w:tr>
      <w:tr w:rsidR="003C42F6" w:rsidRPr="007F54D2" w:rsidTr="003C42F6">
        <w:tc>
          <w:tcPr>
            <w:tcW w:w="3348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Mesto isporuke</w:t>
            </w:r>
          </w:p>
        </w:tc>
        <w:tc>
          <w:tcPr>
            <w:tcW w:w="3510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F- co magacin </w:t>
            </w:r>
            <w:r>
              <w:rPr>
                <w:rFonts w:asciiTheme="minorHAnsi" w:hAnsiTheme="minorHAnsi"/>
                <w:sz w:val="22"/>
                <w:szCs w:val="22"/>
              </w:rPr>
              <w:t>Instituta</w:t>
            </w:r>
          </w:p>
        </w:tc>
        <w:tc>
          <w:tcPr>
            <w:tcW w:w="3240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F- co magacin </w:t>
            </w:r>
            <w:r>
              <w:rPr>
                <w:rFonts w:asciiTheme="minorHAnsi" w:hAnsiTheme="minorHAnsi"/>
                <w:sz w:val="22"/>
                <w:szCs w:val="22"/>
              </w:rPr>
              <w:t>Instituta</w:t>
            </w:r>
          </w:p>
        </w:tc>
      </w:tr>
      <w:tr w:rsidR="003C42F6" w:rsidRPr="007F54D2" w:rsidTr="003C42F6">
        <w:tc>
          <w:tcPr>
            <w:tcW w:w="3348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Rok i način plaćanja </w:t>
            </w:r>
          </w:p>
        </w:tc>
        <w:tc>
          <w:tcPr>
            <w:tcW w:w="351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  <w:r w:rsidR="00B94B62">
              <w:rPr>
                <w:rFonts w:asciiTheme="minorHAnsi" w:hAnsiTheme="minorHAnsi"/>
                <w:sz w:val="22"/>
                <w:szCs w:val="22"/>
              </w:rPr>
              <w:t>, virmanom</w:t>
            </w:r>
          </w:p>
        </w:tc>
        <w:tc>
          <w:tcPr>
            <w:tcW w:w="324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90 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 xml:space="preserve"> dana</w:t>
            </w:r>
            <w:proofErr w:type="gramEnd"/>
            <w:r w:rsidR="00B94B62">
              <w:rPr>
                <w:rFonts w:asciiTheme="minorHAnsi" w:hAnsiTheme="minorHAnsi"/>
                <w:sz w:val="22"/>
                <w:szCs w:val="22"/>
              </w:rPr>
              <w:t>, virmanom</w:t>
            </w:r>
          </w:p>
        </w:tc>
      </w:tr>
      <w:tr w:rsidR="003C42F6" w:rsidRPr="007F54D2" w:rsidTr="003C42F6">
        <w:tc>
          <w:tcPr>
            <w:tcW w:w="3348" w:type="dxa"/>
          </w:tcPr>
          <w:p w:rsidR="003C42F6" w:rsidRPr="007F54D2" w:rsidRDefault="003C42F6" w:rsidP="003C42F6">
            <w:pPr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 xml:space="preserve">Važnost ponude </w:t>
            </w:r>
          </w:p>
        </w:tc>
        <w:tc>
          <w:tcPr>
            <w:tcW w:w="3510" w:type="dxa"/>
            <w:vAlign w:val="bottom"/>
          </w:tcPr>
          <w:p w:rsidR="003C42F6" w:rsidRPr="007F54D2" w:rsidRDefault="003C42F6" w:rsidP="00B94B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</w:t>
            </w:r>
            <w:r w:rsidR="00B94B62">
              <w:rPr>
                <w:rFonts w:asciiTheme="minorHAnsi" w:hAnsiTheme="minorHAnsi"/>
                <w:sz w:val="22"/>
                <w:szCs w:val="22"/>
              </w:rPr>
              <w:t>0</w:t>
            </w:r>
            <w:r w:rsidRPr="007F54D2">
              <w:rPr>
                <w:rFonts w:asciiTheme="minorHAnsi" w:hAnsiTheme="minorHAnsi"/>
                <w:sz w:val="22"/>
                <w:szCs w:val="22"/>
              </w:rPr>
              <w:t>dana</w:t>
            </w:r>
          </w:p>
        </w:tc>
        <w:tc>
          <w:tcPr>
            <w:tcW w:w="3240" w:type="dxa"/>
            <w:vAlign w:val="bottom"/>
          </w:tcPr>
          <w:p w:rsidR="003C42F6" w:rsidRPr="007F54D2" w:rsidRDefault="003C42F6" w:rsidP="003C4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F54D2">
              <w:rPr>
                <w:rFonts w:asciiTheme="minorHAnsi" w:hAnsiTheme="minorHAnsi"/>
                <w:sz w:val="22"/>
                <w:szCs w:val="22"/>
              </w:rPr>
              <w:t>120 dana</w:t>
            </w:r>
          </w:p>
        </w:tc>
      </w:tr>
    </w:tbl>
    <w:p w:rsidR="003C42F6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C42F6" w:rsidRPr="003B30FA" w:rsidRDefault="004C1F42" w:rsidP="003C42F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3C42F6">
        <w:rPr>
          <w:rFonts w:asciiTheme="minorHAnsi" w:hAnsiTheme="minorHAnsi"/>
          <w:sz w:val="22"/>
          <w:szCs w:val="22"/>
          <w:lang w:val="sr-Latn-CS"/>
        </w:rPr>
        <w:t xml:space="preserve">„Konkursnom dokumentacijom za predmetnu partiju je traženo: </w:t>
      </w:r>
      <w:r w:rsidR="003C42F6" w:rsidRPr="003B30FA">
        <w:rPr>
          <w:rFonts w:asciiTheme="minorHAnsi" w:hAnsiTheme="minorHAnsi" w:cs="Arial"/>
          <w:sz w:val="22"/>
          <w:szCs w:val="22"/>
        </w:rPr>
        <w:t>Veličina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rukavica</w:t>
      </w:r>
      <w:r w:rsidR="003C42F6">
        <w:rPr>
          <w:rFonts w:asciiTheme="minorHAnsi" w:hAnsiTheme="minorHAnsi" w:cs="Arial"/>
          <w:sz w:val="22"/>
          <w:szCs w:val="22"/>
        </w:rPr>
        <w:t xml:space="preserve">: </w:t>
      </w:r>
      <w:r w:rsidR="003C42F6" w:rsidRPr="003B30FA">
        <w:rPr>
          <w:rFonts w:asciiTheme="minorHAnsi" w:hAnsiTheme="minorHAnsi" w:cs="Arial"/>
          <w:b/>
          <w:sz w:val="22"/>
          <w:szCs w:val="22"/>
        </w:rPr>
        <w:t xml:space="preserve">S, M ,L, </w:t>
      </w:r>
      <w:r w:rsidR="003C42F6" w:rsidRPr="00B80416">
        <w:rPr>
          <w:rFonts w:asciiTheme="minorHAnsi" w:hAnsiTheme="minorHAnsi" w:cs="Arial"/>
          <w:sz w:val="22"/>
          <w:szCs w:val="22"/>
        </w:rPr>
        <w:t>n</w:t>
      </w:r>
      <w:r w:rsidR="003C42F6">
        <w:rPr>
          <w:rFonts w:asciiTheme="minorHAnsi" w:hAnsiTheme="minorHAnsi" w:cs="Arial"/>
          <w:sz w:val="22"/>
          <w:szCs w:val="22"/>
        </w:rPr>
        <w:t>esterilne,nitrilne,bez lat</w:t>
      </w:r>
      <w:r w:rsidR="003C42F6" w:rsidRPr="003B30FA">
        <w:rPr>
          <w:rFonts w:asciiTheme="minorHAnsi" w:hAnsiTheme="minorHAnsi" w:cs="Arial"/>
          <w:sz w:val="22"/>
          <w:szCs w:val="22"/>
        </w:rPr>
        <w:t>ksa,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zaštitne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bez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pudera,dužina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rukavica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min.240 mm, na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prstima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hrapava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površina</w:t>
      </w:r>
      <w:r w:rsidR="003C42F6">
        <w:rPr>
          <w:rFonts w:asciiTheme="minorHAnsi" w:hAnsiTheme="minorHAnsi" w:cs="Arial"/>
          <w:sz w:val="22"/>
          <w:szCs w:val="22"/>
        </w:rPr>
        <w:t xml:space="preserve">. </w:t>
      </w:r>
      <w:r w:rsidR="003C42F6" w:rsidRPr="003B30FA">
        <w:rPr>
          <w:rFonts w:asciiTheme="minorHAnsi" w:hAnsiTheme="minorHAnsi" w:cs="Arial"/>
          <w:sz w:val="22"/>
          <w:szCs w:val="22"/>
        </w:rPr>
        <w:t>Dostaviti Declaration of Conformity PPE za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ličnu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bezbednost</w:t>
      </w:r>
      <w:r w:rsidR="003C42F6">
        <w:rPr>
          <w:rFonts w:asciiTheme="minorHAnsi" w:hAnsiTheme="minorHAnsi" w:cs="Arial"/>
          <w:sz w:val="22"/>
          <w:szCs w:val="22"/>
        </w:rPr>
        <w:t>-</w:t>
      </w:r>
      <w:r w:rsidR="003C42F6" w:rsidRPr="003B30FA">
        <w:rPr>
          <w:rFonts w:asciiTheme="minorHAnsi" w:hAnsiTheme="minorHAnsi" w:cs="Arial"/>
          <w:sz w:val="22"/>
          <w:szCs w:val="22"/>
        </w:rPr>
        <w:t>kategorija III. Neophodno je da zadovoljavaju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sledeće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standarde: prema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direktivi EN 455-1</w:t>
      </w:r>
      <w:r w:rsidR="003C42F6">
        <w:rPr>
          <w:rFonts w:asciiTheme="minorHAnsi" w:hAnsiTheme="minorHAnsi" w:cs="Arial"/>
          <w:sz w:val="22"/>
          <w:szCs w:val="22"/>
        </w:rPr>
        <w:t>,</w:t>
      </w:r>
      <w:r w:rsidR="003C42F6" w:rsidRPr="003B30FA">
        <w:rPr>
          <w:rFonts w:asciiTheme="minorHAnsi" w:hAnsiTheme="minorHAnsi" w:cs="Arial"/>
          <w:sz w:val="22"/>
          <w:szCs w:val="22"/>
        </w:rPr>
        <w:t xml:space="preserve"> AQL min.1,</w:t>
      </w:r>
      <w:proofErr w:type="gramStart"/>
      <w:r w:rsidR="003C42F6" w:rsidRPr="003B30FA">
        <w:rPr>
          <w:rFonts w:asciiTheme="minorHAnsi" w:hAnsiTheme="minorHAnsi" w:cs="Arial"/>
          <w:sz w:val="22"/>
          <w:szCs w:val="22"/>
        </w:rPr>
        <w:t>5 ,ASTM</w:t>
      </w:r>
      <w:proofErr w:type="gramEnd"/>
      <w:r w:rsidR="003C42F6" w:rsidRPr="003B30FA">
        <w:rPr>
          <w:rFonts w:asciiTheme="minorHAnsi" w:hAnsiTheme="minorHAnsi" w:cs="Arial"/>
          <w:sz w:val="22"/>
          <w:szCs w:val="22"/>
        </w:rPr>
        <w:t xml:space="preserve"> F 1671, EN 374 - 1,2,3 ili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odgovarajuće(dostaviti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izveštaj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testiranja), ASTM D 6978-05  ili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odgovarajuće (dostaviti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>izveštaj</w:t>
      </w:r>
      <w:r w:rsidR="003C42F6">
        <w:rPr>
          <w:rFonts w:asciiTheme="minorHAnsi" w:hAnsiTheme="minorHAnsi" w:cs="Arial"/>
          <w:sz w:val="22"/>
          <w:szCs w:val="22"/>
        </w:rPr>
        <w:t xml:space="preserve"> </w:t>
      </w:r>
      <w:r w:rsidR="003C42F6" w:rsidRPr="003B30FA">
        <w:rPr>
          <w:rFonts w:asciiTheme="minorHAnsi" w:hAnsiTheme="minorHAnsi" w:cs="Arial"/>
          <w:sz w:val="22"/>
          <w:szCs w:val="22"/>
        </w:rPr>
        <w:t xml:space="preserve">testiranja). </w:t>
      </w:r>
    </w:p>
    <w:p w:rsidR="00483131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  <w:r w:rsidRPr="003B30FA">
        <w:rPr>
          <w:rFonts w:asciiTheme="minorHAnsi" w:hAnsiTheme="minorHAnsi" w:cs="Arial"/>
          <w:sz w:val="22"/>
          <w:szCs w:val="22"/>
        </w:rPr>
        <w:t>Tražene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karakteristike se dokazuju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tako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što</w:t>
      </w:r>
      <w:r>
        <w:rPr>
          <w:rFonts w:asciiTheme="minorHAnsi" w:hAnsiTheme="minorHAnsi" w:cs="Arial"/>
          <w:sz w:val="22"/>
          <w:szCs w:val="22"/>
        </w:rPr>
        <w:t xml:space="preserve"> ć</w:t>
      </w:r>
      <w:r w:rsidRPr="003B30FA">
        <w:rPr>
          <w:rFonts w:asciiTheme="minorHAnsi" w:hAnsiTheme="minorHAnsi" w:cs="Arial"/>
          <w:sz w:val="22"/>
          <w:szCs w:val="22"/>
        </w:rPr>
        <w:t>e se priložiti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proizvođačk</w:t>
      </w:r>
      <w:r>
        <w:rPr>
          <w:rFonts w:asciiTheme="minorHAnsi" w:hAnsiTheme="minorHAnsi" w:cs="Arial"/>
          <w:sz w:val="22"/>
          <w:szCs w:val="22"/>
        </w:rPr>
        <w:t xml:space="preserve">a tehnička </w:t>
      </w:r>
      <w:proofErr w:type="gramStart"/>
      <w:r>
        <w:rPr>
          <w:rFonts w:asciiTheme="minorHAnsi" w:hAnsiTheme="minorHAnsi" w:cs="Arial"/>
          <w:sz w:val="22"/>
          <w:szCs w:val="22"/>
        </w:rPr>
        <w:t>specifikacija(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technical data sheet) ili  proizvođački </w:t>
      </w:r>
      <w:r w:rsidRPr="003B30FA">
        <w:rPr>
          <w:rFonts w:asciiTheme="minorHAnsi" w:hAnsiTheme="minorHAnsi" w:cs="Arial"/>
          <w:sz w:val="22"/>
          <w:szCs w:val="22"/>
        </w:rPr>
        <w:t>katalog.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 xml:space="preserve">Ukoliko </w:t>
      </w:r>
      <w:r>
        <w:rPr>
          <w:rFonts w:asciiTheme="minorHAnsi" w:hAnsiTheme="minorHAnsi" w:cs="Arial"/>
          <w:sz w:val="22"/>
          <w:szCs w:val="22"/>
        </w:rPr>
        <w:t>su tehnička specifikacija proizvoda ili katalog na stranom jeziku</w:t>
      </w:r>
      <w:r w:rsidRPr="003B30F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potreban je prevod na srpski jezik od strane sudskog tumača</w:t>
      </w:r>
      <w:r w:rsidRPr="003B30FA">
        <w:rPr>
          <w:rFonts w:asciiTheme="minorHAnsi" w:hAnsiTheme="minorHAnsi" w:cs="Arial"/>
          <w:sz w:val="22"/>
          <w:szCs w:val="22"/>
        </w:rPr>
        <w:t>.Ukoliko je potrebno da se pojasne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tehničke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karakteristike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iz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kataloga, ponuđači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su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obavezni da 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zahtev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naručioca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dostave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originalnu</w:t>
      </w:r>
      <w:r>
        <w:rPr>
          <w:rFonts w:asciiTheme="minorHAnsi" w:hAnsiTheme="minorHAnsi" w:cs="Arial"/>
          <w:sz w:val="22"/>
          <w:szCs w:val="22"/>
        </w:rPr>
        <w:t xml:space="preserve"> tehničku specifikaciju ili katalog proizvođača  </w:t>
      </w:r>
      <w:r w:rsidRPr="003B30FA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srpskom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ili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engleskom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jeziku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sa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tehničkim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karakteristikama dobra koje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nudi, iz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koga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naručilac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može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nedvosmisleno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utvrditi da  ponuđeno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dobro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odgovara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zahtevima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iz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konkursne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dokumentacije.Ponuđač je dužan da obeleži u dokumentaciji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tražene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karakteristike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 xml:space="preserve">kojima se </w:t>
      </w:r>
      <w:r>
        <w:rPr>
          <w:rFonts w:asciiTheme="minorHAnsi" w:hAnsiTheme="minorHAnsi" w:cs="Arial"/>
          <w:sz w:val="22"/>
          <w:szCs w:val="22"/>
        </w:rPr>
        <w:t>do</w:t>
      </w:r>
      <w:r w:rsidRPr="003B30FA">
        <w:rPr>
          <w:rFonts w:asciiTheme="minorHAnsi" w:hAnsiTheme="minorHAnsi" w:cs="Arial"/>
          <w:sz w:val="22"/>
          <w:szCs w:val="22"/>
        </w:rPr>
        <w:t>kazuju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zahtevi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B30FA">
        <w:rPr>
          <w:rFonts w:asciiTheme="minorHAnsi" w:hAnsiTheme="minorHAnsi" w:cs="Arial"/>
          <w:sz w:val="22"/>
          <w:szCs w:val="22"/>
        </w:rPr>
        <w:t>iz</w:t>
      </w:r>
      <w:r>
        <w:rPr>
          <w:rFonts w:asciiTheme="minorHAnsi" w:hAnsiTheme="minorHAnsi" w:cs="Arial"/>
          <w:sz w:val="22"/>
          <w:szCs w:val="22"/>
        </w:rPr>
        <w:t xml:space="preserve"> konkursne dokumentacije”. </w:t>
      </w:r>
    </w:p>
    <w:p w:rsidR="00483131" w:rsidRDefault="00483131" w:rsidP="003C42F6">
      <w:pPr>
        <w:pStyle w:val="ListParagraph"/>
        <w:spacing w:line="240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</w:p>
    <w:p w:rsidR="00645CDA" w:rsidRDefault="00645CDA" w:rsidP="003C42F6">
      <w:pPr>
        <w:pStyle w:val="ListParagraph"/>
        <w:spacing w:line="240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Iako je ponuda ponuđača “</w:t>
      </w:r>
      <w:proofErr w:type="gramStart"/>
      <w:r>
        <w:rPr>
          <w:rFonts w:asciiTheme="minorHAnsi" w:hAnsiTheme="minorHAnsi" w:cs="Arial"/>
          <w:sz w:val="22"/>
          <w:szCs w:val="22"/>
        </w:rPr>
        <w:t>Farmalogist”doo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odgovarajuća, komisija naručioca je ocenjuje neprihvatljivom pošto prelazi procenjenu vrednost partije.</w:t>
      </w:r>
    </w:p>
    <w:p w:rsidR="00645CDA" w:rsidRDefault="00645CDA" w:rsidP="003C42F6">
      <w:pPr>
        <w:pStyle w:val="ListParagraph"/>
        <w:spacing w:line="240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</w:p>
    <w:p w:rsidR="00062F8B" w:rsidRDefault="00645CDA" w:rsidP="00062F8B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U toku ocene </w:t>
      </w:r>
      <w:r w:rsidR="00062F8B">
        <w:rPr>
          <w:rFonts w:asciiTheme="minorHAnsi" w:hAnsiTheme="minorHAnsi"/>
          <w:sz w:val="22"/>
          <w:szCs w:val="22"/>
          <w:lang w:val="sr-Latn-CS"/>
        </w:rPr>
        <w:t xml:space="preserve">ponude ponuđača: „Sinofarm“doo, Komisija naručioca je uočila neslaganje u navođenju bitnih tehničkih karakteristika proizvoda </w:t>
      </w:r>
      <w:r w:rsidR="00062F8B">
        <w:rPr>
          <w:rFonts w:asciiTheme="minorHAnsi" w:hAnsiTheme="minorHAnsi"/>
          <w:sz w:val="22"/>
          <w:szCs w:val="22"/>
          <w:u w:val="single"/>
          <w:lang w:val="sr-Latn-CS"/>
        </w:rPr>
        <w:t>između</w:t>
      </w:r>
      <w:r w:rsidR="00062F8B">
        <w:rPr>
          <w:rFonts w:asciiTheme="minorHAnsi" w:hAnsiTheme="minorHAnsi"/>
          <w:sz w:val="22"/>
          <w:szCs w:val="22"/>
          <w:lang w:val="sr-Latn-CS"/>
        </w:rPr>
        <w:t xml:space="preserve">: </w:t>
      </w:r>
    </w:p>
    <w:p w:rsidR="00062F8B" w:rsidRDefault="00062F8B" w:rsidP="00062F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CS"/>
        </w:rPr>
        <w:t>1.Tehničkih specifikacija, odnosno kataloga proizvoda, ponuđača„Sinofarm“doo(proizvođač“TOP GLOVE“, Malezija), naknadno</w:t>
      </w:r>
      <w:r w:rsidR="00645CDA">
        <w:rPr>
          <w:rFonts w:asciiTheme="minorHAnsi" w:hAnsiTheme="minorHAnsi"/>
          <w:sz w:val="22"/>
          <w:szCs w:val="22"/>
          <w:lang w:val="sr-Latn-CS"/>
        </w:rPr>
        <w:t xml:space="preserve"> traženog i</w:t>
      </w:r>
      <w:r>
        <w:rPr>
          <w:rFonts w:asciiTheme="minorHAnsi" w:hAnsiTheme="minorHAnsi"/>
          <w:sz w:val="22"/>
          <w:szCs w:val="22"/>
          <w:lang w:val="sr-Latn-CS"/>
        </w:rPr>
        <w:t xml:space="preserve"> dostavljenog na zahtev naručioca </w:t>
      </w:r>
      <w:r>
        <w:rPr>
          <w:rFonts w:asciiTheme="minorHAnsi" w:hAnsiTheme="minorHAnsi"/>
          <w:b/>
          <w:sz w:val="22"/>
          <w:szCs w:val="22"/>
          <w:u w:val="single"/>
          <w:lang w:val="sr-Latn-CS"/>
        </w:rPr>
        <w:t>i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</w:t>
      </w:r>
    </w:p>
    <w:p w:rsidR="00062F8B" w:rsidRDefault="00062F8B" w:rsidP="00062F8B">
      <w:pPr>
        <w:pStyle w:val="ListParagraph"/>
        <w:spacing w:after="0"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2. Tehničkih specifikacija, odnosno kataloga proizvoda, proizvođača „TOP GLOVE“objavljenog na internet stranici proizvođača. 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Komisija naručioca je konstatovala da na Internet stranici proizvođača“ TOP GLOVE“, Malezija, u tehničkoj specifikaciji proizvoda, odnosno katalogu i u pratećoj tehničkoj dokumentaciji: 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1)Naveden je materijal od koga su rukavice napravljene: </w:t>
      </w:r>
      <w:r w:rsidRPr="00062F8B">
        <w:rPr>
          <w:rFonts w:asciiTheme="minorHAnsi" w:hAnsiTheme="minorHAnsi"/>
          <w:sz w:val="22"/>
          <w:szCs w:val="22"/>
          <w:u w:val="single"/>
          <w:lang w:val="sr-Latn-CS"/>
        </w:rPr>
        <w:t>Nitrile Latex</w:t>
      </w:r>
      <w:r>
        <w:rPr>
          <w:rFonts w:asciiTheme="minorHAnsi" w:hAnsiTheme="minorHAnsi"/>
          <w:sz w:val="22"/>
          <w:szCs w:val="22"/>
          <w:u w:val="single"/>
          <w:lang w:val="sr-Latn-CS"/>
        </w:rPr>
        <w:t>, sastav:</w:t>
      </w:r>
      <w:r w:rsidRPr="00062F8B">
        <w:rPr>
          <w:rFonts w:asciiTheme="minorHAnsi" w:hAnsiTheme="minorHAnsi"/>
          <w:sz w:val="22"/>
          <w:szCs w:val="22"/>
          <w:u w:val="single"/>
          <w:lang w:val="sr-Latn-CS"/>
        </w:rPr>
        <w:t>Acrylonitrile-butadiene</w:t>
      </w:r>
      <w:r>
        <w:rPr>
          <w:rFonts w:asciiTheme="minorHAnsi" w:hAnsiTheme="minorHAnsi"/>
          <w:sz w:val="22"/>
          <w:szCs w:val="22"/>
          <w:lang w:val="sr-Latn-CS"/>
        </w:rPr>
        <w:t>(konkursnom dokumentacijom su tražene rukavice bez latexa). Navedeni materijal se razlikuje od materijala</w:t>
      </w:r>
      <w:r w:rsidR="00645CDA">
        <w:rPr>
          <w:rFonts w:asciiTheme="minorHAnsi" w:hAnsiTheme="minorHAnsi"/>
          <w:sz w:val="22"/>
          <w:szCs w:val="22"/>
          <w:lang w:val="sr-Latn-CS"/>
        </w:rPr>
        <w:t xml:space="preserve"> koji je</w:t>
      </w:r>
      <w:r>
        <w:rPr>
          <w:rFonts w:asciiTheme="minorHAnsi" w:hAnsiTheme="minorHAnsi"/>
          <w:sz w:val="22"/>
          <w:szCs w:val="22"/>
          <w:lang w:val="sr-Latn-CS"/>
        </w:rPr>
        <w:t xml:space="preserve"> naveden u katalogu ponuđača “Sinofarm“doo:</w:t>
      </w:r>
      <w:r w:rsidRPr="00062F8B">
        <w:rPr>
          <w:rFonts w:asciiTheme="minorHAnsi" w:hAnsiTheme="minorHAnsi"/>
          <w:sz w:val="22"/>
          <w:szCs w:val="22"/>
          <w:u w:val="single"/>
          <w:lang w:val="sr-Latn-CS"/>
        </w:rPr>
        <w:t>100% nitril, sastav: Acrylonitrile-butadeine</w:t>
      </w:r>
      <w:r w:rsidR="00645CDA">
        <w:rPr>
          <w:rFonts w:asciiTheme="minorHAnsi" w:hAnsiTheme="minorHAnsi"/>
          <w:sz w:val="22"/>
          <w:szCs w:val="22"/>
          <w:u w:val="single"/>
          <w:lang w:val="sr-Latn-CS"/>
        </w:rPr>
        <w:t>(isti sastav?)</w:t>
      </w:r>
      <w:r w:rsidR="00EA0D3F">
        <w:rPr>
          <w:rFonts w:asciiTheme="minorHAnsi" w:hAnsiTheme="minorHAnsi"/>
          <w:sz w:val="22"/>
          <w:szCs w:val="22"/>
          <w:u w:val="single"/>
          <w:lang w:val="sr-Latn-CS"/>
        </w:rPr>
        <w:t>;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2) Ne postoje podaci o AQL-u(u konkursnoj dokumentaciji je tražen AQL -1,5); 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3) Ne nalaze se podaci o svrstavanju rukavica prema deklaraciji za ličnu bezbednost ni u jednu kategoriju(nigde se ne navodi kategorija III)</w:t>
      </w:r>
      <w:r w:rsidR="00EA0D3F">
        <w:rPr>
          <w:rFonts w:asciiTheme="minorHAnsi" w:hAnsiTheme="minorHAnsi"/>
          <w:sz w:val="22"/>
          <w:szCs w:val="22"/>
          <w:lang w:val="sr-Latn-CS"/>
        </w:rPr>
        <w:t>.</w:t>
      </w: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jc w:val="both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Ponuđač“Sinofarm“ je dostavio katalog proizvoda proizvođača „TOP GLOVE“, Malezija, sa identičnom slikom, identičnim delovima i rasporedom teksta i tabelom, ali sa različitim tehničkim karakteristikama proizvoda od onih iz istog kataloga sa internet stranice proizvođača“TOP GLOVE“, Malezija.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Kako postoji uočljivo neslaganje u tehničkim karakteristika </w:t>
      </w:r>
      <w:r w:rsidR="00645CDA">
        <w:rPr>
          <w:rFonts w:asciiTheme="minorHAnsi" w:hAnsiTheme="minorHAnsi"/>
          <w:sz w:val="22"/>
          <w:szCs w:val="22"/>
          <w:lang w:val="sr-Latn-CS"/>
        </w:rPr>
        <w:t xml:space="preserve">predmetnog </w:t>
      </w:r>
      <w:r>
        <w:rPr>
          <w:rFonts w:asciiTheme="minorHAnsi" w:hAnsiTheme="minorHAnsi"/>
          <w:sz w:val="22"/>
          <w:szCs w:val="22"/>
          <w:lang w:val="sr-Latn-CS"/>
        </w:rPr>
        <w:t>proizvoda: zaštitne rukavice za rad sa citostaticima-nitrilne u dostavljenom katalogu ponuđača</w:t>
      </w:r>
      <w:r w:rsidR="00645CDA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“Sinofarm“doo</w:t>
      </w:r>
      <w:r w:rsidR="00645CDA">
        <w:rPr>
          <w:rFonts w:asciiTheme="minorHAnsi" w:hAnsiTheme="minorHAnsi"/>
          <w:sz w:val="22"/>
          <w:szCs w:val="22"/>
          <w:lang w:val="sr-Latn-CS"/>
        </w:rPr>
        <w:t>, proizvođača“TOP GLOVE“, Malezija</w:t>
      </w:r>
      <w:r>
        <w:rPr>
          <w:rFonts w:asciiTheme="minorHAnsi" w:hAnsiTheme="minorHAnsi"/>
          <w:sz w:val="22"/>
          <w:szCs w:val="22"/>
          <w:lang w:val="sr-Latn-CS"/>
        </w:rPr>
        <w:t xml:space="preserve"> i tehničkih karakteristika istog proizvoda objavljenih u identičnom katalogu proizvođača: „TOP GLOVE“, Malezija, na internet stranici</w:t>
      </w:r>
      <w:r w:rsidR="004C1F42">
        <w:rPr>
          <w:rFonts w:asciiTheme="minorHAnsi" w:hAnsiTheme="minorHAnsi"/>
          <w:sz w:val="22"/>
          <w:szCs w:val="22"/>
          <w:lang w:val="sr-Latn-CS"/>
        </w:rPr>
        <w:t xml:space="preserve"> proizvođača</w:t>
      </w:r>
      <w:r>
        <w:rPr>
          <w:rFonts w:asciiTheme="minorHAnsi" w:hAnsiTheme="minorHAnsi"/>
          <w:sz w:val="22"/>
          <w:szCs w:val="22"/>
          <w:lang w:val="sr-Latn-CS"/>
        </w:rPr>
        <w:t>, komisija naručioca nije mogla da utvrdi da</w:t>
      </w:r>
      <w:r w:rsidR="00D46F35">
        <w:rPr>
          <w:rFonts w:asciiTheme="minorHAnsi" w:hAnsiTheme="minorHAnsi"/>
          <w:sz w:val="22"/>
          <w:szCs w:val="22"/>
          <w:lang w:val="sr-Latn-CS"/>
        </w:rPr>
        <w:t xml:space="preserve"> li</w:t>
      </w:r>
      <w:r>
        <w:rPr>
          <w:rFonts w:asciiTheme="minorHAnsi" w:hAnsiTheme="minorHAnsi"/>
          <w:sz w:val="22"/>
          <w:szCs w:val="22"/>
          <w:lang w:val="sr-Latn-CS"/>
        </w:rPr>
        <w:t xml:space="preserve"> dobro iz ponude ponuđača „Sinofarm“</w:t>
      </w:r>
      <w:r w:rsidR="00645CDA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 xml:space="preserve">doo, nedvosmisleno poseduje sve tražene karakteristike iz konkursne dokumentacije. 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Iz navedenog razloga, komisija naručioca je ponudu ponuđača „Sinofarm“doo ocenila neprihvatljivom.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Sertifikat o pregledu proizvoda- zaštitne rukavice za rad sa citostaticima-nitrilne, od strane“CIS INSTITUTA“ doo, Beograd, Naručilac uvažava, ali u konkursnoj dokumentaciji i u naknadnom dopisu upućenom ponuđaču, tražena je </w:t>
      </w:r>
    </w:p>
    <w:p w:rsidR="00645CDA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originalna tehnička specifikacija ili katalog </w:t>
      </w:r>
      <w:r w:rsidR="00645CDA">
        <w:rPr>
          <w:rFonts w:asciiTheme="minorHAnsi" w:hAnsiTheme="minorHAnsi"/>
          <w:sz w:val="22"/>
          <w:szCs w:val="22"/>
          <w:lang w:val="sr-Latn-CS"/>
        </w:rPr>
        <w:t xml:space="preserve">proizvoda od </w:t>
      </w:r>
      <w:r>
        <w:rPr>
          <w:rFonts w:asciiTheme="minorHAnsi" w:hAnsiTheme="minorHAnsi"/>
          <w:sz w:val="22"/>
          <w:szCs w:val="22"/>
          <w:lang w:val="sr-Latn-CS"/>
        </w:rPr>
        <w:t>proizvođača</w:t>
      </w:r>
      <w:r w:rsidR="00645CDA">
        <w:rPr>
          <w:rFonts w:asciiTheme="minorHAnsi" w:hAnsiTheme="minorHAnsi"/>
          <w:sz w:val="22"/>
          <w:szCs w:val="22"/>
          <w:lang w:val="sr-Latn-CS"/>
        </w:rPr>
        <w:t>.</w:t>
      </w:r>
    </w:p>
    <w:p w:rsidR="00645CDA" w:rsidRDefault="00645CDA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EA0D3F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062F8B" w:rsidRDefault="00062F8B" w:rsidP="00062F8B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lastRenderedPageBreak/>
        <w:t>Za predmetnu partiju, Naručiocu nije pristigla nijedna prihvatljiva ponuda.</w:t>
      </w:r>
    </w:p>
    <w:p w:rsidR="00483131" w:rsidRDefault="00483131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645CDA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3C42F6" w:rsidRPr="00C54888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b/>
          <w:sz w:val="22"/>
          <w:szCs w:val="22"/>
          <w:lang w:val="sr-Latn-CS"/>
        </w:rPr>
      </w:pPr>
      <w:r w:rsidRPr="00C54888">
        <w:rPr>
          <w:rFonts w:asciiTheme="minorHAnsi" w:hAnsiTheme="minorHAnsi"/>
          <w:b/>
          <w:sz w:val="22"/>
          <w:szCs w:val="22"/>
          <w:lang w:val="sr-Latn-CS"/>
        </w:rPr>
        <w:t>PARTIJA VI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Pr="00C54888">
        <w:rPr>
          <w:rFonts w:asciiTheme="minorHAnsi" w:hAnsiTheme="minorHAnsi"/>
          <w:b/>
          <w:sz w:val="22"/>
          <w:szCs w:val="22"/>
          <w:lang w:val="sr-Latn-CS"/>
        </w:rPr>
        <w:t>-</w:t>
      </w:r>
      <w:r w:rsidRPr="00C54888">
        <w:rPr>
          <w:rFonts w:asciiTheme="minorHAnsi" w:hAnsiTheme="minorHAnsi"/>
          <w:b/>
          <w:color w:val="000000"/>
          <w:sz w:val="22"/>
          <w:szCs w:val="22"/>
        </w:rPr>
        <w:t xml:space="preserve"> ŠPRIC TRODELNI PVC SA LUER LOCK PRIKLJUČKOM</w:t>
      </w:r>
    </w:p>
    <w:tbl>
      <w:tblPr>
        <w:tblpPr w:leftFromText="180" w:rightFromText="180" w:bottomFromText="200" w:vertAnchor="text" w:horzAnchor="margin" w:tblpX="22" w:tblpY="132"/>
        <w:tblW w:w="8298" w:type="dxa"/>
        <w:tblLayout w:type="fixed"/>
        <w:tblLook w:val="04A0" w:firstRow="1" w:lastRow="0" w:firstColumn="1" w:lastColumn="0" w:noHBand="0" w:noVBand="1"/>
      </w:tblPr>
      <w:tblGrid>
        <w:gridCol w:w="918"/>
        <w:gridCol w:w="7380"/>
      </w:tblGrid>
      <w:tr w:rsidR="003C42F6" w:rsidTr="003C42F6">
        <w:trPr>
          <w:trHeight w:val="26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42F6" w:rsidRDefault="003C42F6" w:rsidP="003C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 od 5 ml</w:t>
            </w:r>
          </w:p>
        </w:tc>
      </w:tr>
      <w:tr w:rsidR="003C42F6" w:rsidTr="003C42F6">
        <w:trPr>
          <w:trHeight w:val="26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Default="003C42F6" w:rsidP="003C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 od 10 ml</w:t>
            </w:r>
          </w:p>
        </w:tc>
      </w:tr>
      <w:tr w:rsidR="003C42F6" w:rsidTr="003C42F6">
        <w:trPr>
          <w:trHeight w:val="26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Pr="004E793F" w:rsidRDefault="003C42F6" w:rsidP="003C42F6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42F6" w:rsidRDefault="003C42F6" w:rsidP="003C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Špric trodelni PVC sa Luer lock priključkom od 20ml</w:t>
            </w:r>
          </w:p>
        </w:tc>
      </w:tr>
    </w:tbl>
    <w:p w:rsidR="003C42F6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C42F6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C42F6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C42F6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C42F6" w:rsidRDefault="003C42F6" w:rsidP="003C42F6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483131" w:rsidRDefault="003C42F6" w:rsidP="00483131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Za predmetnu partiju, naručilac nije dobio nijednu ponudu.</w:t>
      </w:r>
    </w:p>
    <w:p w:rsidR="00483131" w:rsidRDefault="00483131" w:rsidP="00483131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483131" w:rsidRDefault="00483131" w:rsidP="00483131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</w:p>
    <w:p w:rsidR="003C42F6" w:rsidRPr="00483131" w:rsidRDefault="003C42F6" w:rsidP="00483131">
      <w:pPr>
        <w:pStyle w:val="ListParagraph"/>
        <w:spacing w:line="240" w:lineRule="auto"/>
        <w:ind w:left="0"/>
        <w:contextualSpacing/>
        <w:rPr>
          <w:rFonts w:asciiTheme="minorHAnsi" w:hAnsiTheme="minorHAnsi"/>
          <w:sz w:val="22"/>
          <w:szCs w:val="22"/>
          <w:lang w:val="sr-Latn-CS"/>
        </w:rPr>
      </w:pPr>
      <w:r w:rsidRPr="007F54D2">
        <w:rPr>
          <w:rFonts w:asciiTheme="minorHAnsi" w:hAnsiTheme="minorHAnsi"/>
          <w:b/>
          <w:sz w:val="22"/>
          <w:szCs w:val="22"/>
          <w:lang w:val="sr-Latn-CS"/>
        </w:rPr>
        <w:t>KRITERIJUM ZA IZBOR NAJPRIHVATLJIVIJE PONUDE JE KRITERIJUM NAJNIŽE PONUĐENA CENA.</w:t>
      </w:r>
    </w:p>
    <w:p w:rsidR="00193346" w:rsidRPr="005F0293" w:rsidRDefault="00193346" w:rsidP="005F0293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CC31E6" w:rsidRDefault="00CC31E6" w:rsidP="005F0293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b/>
          <w:sz w:val="22"/>
          <w:szCs w:val="22"/>
          <w:lang w:val="it-IT"/>
        </w:rPr>
      </w:pPr>
      <w:r w:rsidRPr="005F0293">
        <w:rPr>
          <w:rFonts w:asciiTheme="minorHAnsi" w:hAnsiTheme="minorHAnsi" w:cs="Calibri"/>
          <w:sz w:val="22"/>
          <w:szCs w:val="22"/>
          <w:u w:val="single"/>
          <w:lang w:val="sr-Latn-CS"/>
        </w:rPr>
        <w:t>Na osnovu gore navedenog doneta je odluka kao u dispozitivu.</w:t>
      </w:r>
      <w:r w:rsidRPr="005F0293">
        <w:rPr>
          <w:rFonts w:asciiTheme="minorHAnsi" w:hAnsiTheme="minorHAnsi" w:cs="Calibri"/>
          <w:b/>
          <w:sz w:val="22"/>
          <w:szCs w:val="22"/>
          <w:lang w:val="it-IT"/>
        </w:rPr>
        <w:t xml:space="preserve">  </w:t>
      </w:r>
    </w:p>
    <w:p w:rsidR="00685F88" w:rsidRPr="005F0293" w:rsidRDefault="00685F88" w:rsidP="005F0293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b/>
          <w:sz w:val="22"/>
          <w:szCs w:val="22"/>
          <w:lang w:val="it-IT"/>
        </w:rPr>
      </w:pPr>
    </w:p>
    <w:p w:rsidR="00CC31E6" w:rsidRPr="005F0293" w:rsidRDefault="00CC31E6" w:rsidP="005F0293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sz w:val="22"/>
          <w:szCs w:val="22"/>
          <w:u w:val="single"/>
          <w:lang w:val="sr-Latn-CS"/>
        </w:rPr>
      </w:pPr>
      <w:r w:rsidRPr="005F0293">
        <w:rPr>
          <w:rFonts w:asciiTheme="minorHAnsi" w:hAnsiTheme="minorHAnsi" w:cs="Calibri"/>
          <w:b/>
          <w:sz w:val="22"/>
          <w:szCs w:val="22"/>
          <w:lang w:val="it-IT"/>
        </w:rPr>
        <w:t xml:space="preserve">               </w:t>
      </w:r>
    </w:p>
    <w:p w:rsidR="00CC31E6" w:rsidRPr="005F0293" w:rsidRDefault="00CC31E6" w:rsidP="005F0293">
      <w:pPr>
        <w:ind w:left="360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5F0293">
        <w:rPr>
          <w:rFonts w:asciiTheme="minorHAnsi" w:hAnsiTheme="minorHAnsi" w:cs="Calibri"/>
          <w:sz w:val="22"/>
          <w:szCs w:val="22"/>
          <w:lang w:val="sr-Latn-CS"/>
        </w:rPr>
        <w:t xml:space="preserve">                             V.D. Direktora Instituta za </w:t>
      </w:r>
    </w:p>
    <w:p w:rsidR="00CC31E6" w:rsidRPr="005F0293" w:rsidRDefault="00CC31E6" w:rsidP="005F0293">
      <w:pPr>
        <w:ind w:left="360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5F0293">
        <w:rPr>
          <w:rFonts w:asciiTheme="minorHAnsi" w:hAnsiTheme="minorHAnsi" w:cs="Calibri"/>
          <w:sz w:val="22"/>
          <w:szCs w:val="22"/>
          <w:lang w:val="sr-Latn-CS"/>
        </w:rPr>
        <w:t xml:space="preserve">                           onkologiju i radiologiju Srbije</w:t>
      </w:r>
    </w:p>
    <w:p w:rsidR="00DA7B27" w:rsidRPr="005F0293" w:rsidRDefault="00DA7B27" w:rsidP="005F0293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</w:p>
    <w:p w:rsidR="00CC31E6" w:rsidRPr="005F0293" w:rsidRDefault="00DA7B27" w:rsidP="005F0293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  <w:r w:rsidRPr="005F0293">
        <w:rPr>
          <w:rFonts w:asciiTheme="minorHAnsi" w:hAnsiTheme="minorHAnsi" w:cs="Calibri"/>
          <w:sz w:val="22"/>
          <w:szCs w:val="22"/>
        </w:rPr>
        <w:t xml:space="preserve">                                  __________</w:t>
      </w:r>
      <w:r w:rsidR="00CC31E6" w:rsidRPr="005F0293">
        <w:rPr>
          <w:rFonts w:asciiTheme="minorHAnsi" w:hAnsiTheme="minorHAnsi" w:cs="Calibri"/>
          <w:sz w:val="22"/>
          <w:szCs w:val="22"/>
        </w:rPr>
        <w:t>__________</w:t>
      </w:r>
    </w:p>
    <w:p w:rsidR="00CC31E6" w:rsidRPr="005F0293" w:rsidRDefault="00CC31E6" w:rsidP="005F0293">
      <w:pPr>
        <w:tabs>
          <w:tab w:val="left" w:pos="4785"/>
        </w:tabs>
        <w:rPr>
          <w:rFonts w:asciiTheme="minorHAnsi" w:hAnsiTheme="minorHAnsi" w:cs="Calibri"/>
          <w:sz w:val="22"/>
          <w:szCs w:val="22"/>
        </w:rPr>
      </w:pPr>
      <w:r w:rsidRPr="005F0293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DA7B27" w:rsidRPr="005F0293">
        <w:rPr>
          <w:rFonts w:asciiTheme="minorHAnsi" w:hAnsiTheme="minorHAnsi" w:cs="Calibri"/>
          <w:sz w:val="22"/>
          <w:szCs w:val="22"/>
        </w:rPr>
        <w:t xml:space="preserve">   </w:t>
      </w:r>
      <w:r w:rsidRPr="005F0293">
        <w:rPr>
          <w:rFonts w:asciiTheme="minorHAnsi" w:hAnsiTheme="minorHAnsi" w:cs="Calibri"/>
          <w:sz w:val="22"/>
          <w:szCs w:val="22"/>
        </w:rPr>
        <w:t>Prof dr Radan Džodić</w:t>
      </w:r>
    </w:p>
    <w:p w:rsidR="00310150" w:rsidRPr="005F0293" w:rsidRDefault="00310150" w:rsidP="005F0293">
      <w:pPr>
        <w:tabs>
          <w:tab w:val="left" w:pos="4785"/>
        </w:tabs>
        <w:rPr>
          <w:rFonts w:asciiTheme="minorHAnsi" w:hAnsiTheme="minorHAnsi" w:cs="Calibri"/>
          <w:sz w:val="22"/>
          <w:szCs w:val="22"/>
        </w:rPr>
      </w:pPr>
    </w:p>
    <w:p w:rsidR="00D136C3" w:rsidRDefault="00D136C3" w:rsidP="005F0293">
      <w:pPr>
        <w:tabs>
          <w:tab w:val="left" w:pos="4785"/>
        </w:tabs>
        <w:jc w:val="both"/>
        <w:rPr>
          <w:rFonts w:asciiTheme="minorHAnsi" w:hAnsiTheme="minorHAnsi" w:cs="Calibri"/>
          <w:sz w:val="22"/>
          <w:szCs w:val="22"/>
        </w:rPr>
      </w:pPr>
    </w:p>
    <w:p w:rsidR="00C177D6" w:rsidRDefault="00C177D6" w:rsidP="005F0293">
      <w:pPr>
        <w:tabs>
          <w:tab w:val="left" w:pos="4785"/>
        </w:tabs>
        <w:jc w:val="both"/>
        <w:rPr>
          <w:rFonts w:asciiTheme="minorHAnsi" w:hAnsiTheme="minorHAnsi" w:cs="Calibri"/>
          <w:sz w:val="22"/>
          <w:szCs w:val="22"/>
        </w:rPr>
      </w:pPr>
    </w:p>
    <w:p w:rsidR="00CC31E6" w:rsidRPr="005F0293" w:rsidRDefault="00CC31E6" w:rsidP="005F0293">
      <w:pPr>
        <w:tabs>
          <w:tab w:val="left" w:pos="4785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F0293">
        <w:rPr>
          <w:rFonts w:asciiTheme="minorHAnsi" w:hAnsiTheme="minorHAnsi" w:cs="Calibri"/>
          <w:sz w:val="22"/>
          <w:szCs w:val="22"/>
        </w:rPr>
        <w:t>POUKA O PRAVNOM LEKU:</w:t>
      </w:r>
      <w:r w:rsidRPr="005F0293">
        <w:rPr>
          <w:rFonts w:asciiTheme="minorHAnsi" w:hAnsiTheme="minorHAnsi" w:cs="Calibri"/>
          <w:color w:val="000000"/>
          <w:sz w:val="22"/>
          <w:szCs w:val="22"/>
        </w:rPr>
        <w:t xml:space="preserve"> Protiv ove odluke može se podneti Zahtev za zaštitu prava u roku od 10 (deset)dana od dana objave na Portalu javnih nabavki. Zahtev za zaštitu prava podnosi se naručiocu, a kopija se istovremeno dostavlja Republičkoj </w:t>
      </w:r>
      <w:proofErr w:type="gramStart"/>
      <w:r w:rsidRPr="005F0293">
        <w:rPr>
          <w:rFonts w:asciiTheme="minorHAnsi" w:hAnsiTheme="minorHAnsi" w:cs="Calibri"/>
          <w:color w:val="000000"/>
          <w:sz w:val="22"/>
          <w:szCs w:val="22"/>
        </w:rPr>
        <w:t>komisiji  za</w:t>
      </w:r>
      <w:proofErr w:type="gramEnd"/>
      <w:r w:rsidRPr="005F0293">
        <w:rPr>
          <w:rFonts w:asciiTheme="minorHAnsi" w:hAnsiTheme="minorHAnsi" w:cs="Calibri"/>
          <w:color w:val="000000"/>
          <w:sz w:val="22"/>
          <w:szCs w:val="22"/>
        </w:rPr>
        <w:t xml:space="preserve"> zaštitu prava.</w:t>
      </w:r>
    </w:p>
    <w:p w:rsidR="00097EFA" w:rsidRPr="005F0293" w:rsidRDefault="00097EFA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D136C3" w:rsidRDefault="00CC31E6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 w:rsidRPr="005F0293">
        <w:rPr>
          <w:rFonts w:asciiTheme="minorHAnsi" w:hAnsiTheme="minorHAnsi" w:cs="Calibri"/>
          <w:color w:val="000000"/>
          <w:sz w:val="22"/>
          <w:szCs w:val="22"/>
        </w:rPr>
        <w:t>Dostaviti:</w:t>
      </w:r>
    </w:p>
    <w:p w:rsidR="00685F88" w:rsidRDefault="00685F88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D136C3" w:rsidRDefault="00D136C3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-</w:t>
      </w:r>
      <w:r w:rsidR="003E24C9">
        <w:rPr>
          <w:rFonts w:asciiTheme="minorHAnsi" w:hAnsiTheme="minorHAnsi" w:cs="Calibri"/>
          <w:color w:val="000000"/>
          <w:sz w:val="22"/>
          <w:szCs w:val="22"/>
        </w:rPr>
        <w:t>Imenovanoj-om</w:t>
      </w:r>
      <w:r w:rsidR="00CC6457">
        <w:rPr>
          <w:rFonts w:asciiTheme="minorHAnsi" w:hAnsiTheme="minorHAnsi" w:cs="Calibri"/>
          <w:color w:val="000000"/>
          <w:sz w:val="22"/>
          <w:szCs w:val="22"/>
        </w:rPr>
        <w:t>,</w:t>
      </w:r>
    </w:p>
    <w:p w:rsidR="00D136C3" w:rsidRDefault="00D136C3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-</w:t>
      </w:r>
      <w:r w:rsidR="00DA7B27" w:rsidRPr="005F0293">
        <w:rPr>
          <w:rFonts w:asciiTheme="minorHAnsi" w:hAnsiTheme="minorHAnsi" w:cs="Calibri"/>
          <w:color w:val="000000"/>
          <w:sz w:val="22"/>
          <w:szCs w:val="22"/>
        </w:rPr>
        <w:t>o</w:t>
      </w:r>
      <w:r w:rsidR="00CC31E6" w:rsidRPr="005F0293">
        <w:rPr>
          <w:rFonts w:asciiTheme="minorHAnsi" w:hAnsiTheme="minorHAnsi" w:cs="Calibri"/>
          <w:color w:val="000000"/>
          <w:sz w:val="22"/>
          <w:szCs w:val="22"/>
        </w:rPr>
        <w:t>deljenju za javne nabavke</w:t>
      </w:r>
      <w:r w:rsidR="00BC22F6" w:rsidRPr="005F0293">
        <w:rPr>
          <w:rFonts w:asciiTheme="minorHAnsi" w:hAnsiTheme="minorHAnsi" w:cs="Calibri"/>
          <w:color w:val="000000"/>
          <w:sz w:val="22"/>
          <w:szCs w:val="22"/>
        </w:rPr>
        <w:t>,</w:t>
      </w:r>
      <w:r w:rsidR="00CC645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E06D54" w:rsidRPr="005F0293" w:rsidRDefault="00D136C3" w:rsidP="005F0293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-</w:t>
      </w:r>
      <w:r w:rsidR="00CC31E6" w:rsidRPr="005F0293">
        <w:rPr>
          <w:rFonts w:asciiTheme="minorHAnsi" w:hAnsiTheme="minorHAnsi" w:cs="Calibri"/>
          <w:color w:val="000000"/>
          <w:sz w:val="22"/>
          <w:szCs w:val="22"/>
        </w:rPr>
        <w:t>arhivi</w:t>
      </w:r>
    </w:p>
    <w:sectPr w:rsidR="00E06D54" w:rsidRPr="005F0293" w:rsidSect="001355C0">
      <w:headerReference w:type="default" r:id="rId9"/>
      <w:footerReference w:type="default" r:id="rId10"/>
      <w:pgSz w:w="11907" w:h="16839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84" w:rsidRDefault="00B03F84">
      <w:r>
        <w:separator/>
      </w:r>
    </w:p>
  </w:endnote>
  <w:endnote w:type="continuationSeparator" w:id="0">
    <w:p w:rsidR="00B03F84" w:rsidRDefault="00B0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F6" w:rsidRDefault="003C42F6">
    <w:pPr>
      <w:pStyle w:val="Footer"/>
      <w:rPr>
        <w:sz w:val="20"/>
        <w:szCs w:val="20"/>
        <w:lang w:val="sr-Latn-CS"/>
      </w:rPr>
    </w:pPr>
  </w:p>
  <w:p w:rsidR="003C42F6" w:rsidRPr="00EB6376" w:rsidRDefault="003C42F6">
    <w:pPr>
      <w:pStyle w:val="Footer"/>
      <w:rPr>
        <w:rFonts w:ascii="Calibri" w:hAnsi="Calibri"/>
        <w:sz w:val="18"/>
        <w:szCs w:val="18"/>
        <w:lang w:val="sr-Latn-CS"/>
      </w:rPr>
    </w:pPr>
    <w:r w:rsidRPr="00EB6376">
      <w:rPr>
        <w:rFonts w:ascii="Calibri" w:hAnsi="Calibri"/>
        <w:sz w:val="18"/>
        <w:szCs w:val="18"/>
        <w:lang w:val="sr-Latn-CS"/>
      </w:rPr>
      <w:t xml:space="preserve">Odeljenje za javne nabavke, </w:t>
    </w:r>
    <w:r w:rsidR="00B94B62">
      <w:rPr>
        <w:rFonts w:ascii="Calibri" w:hAnsi="Calibri"/>
        <w:sz w:val="18"/>
        <w:szCs w:val="18"/>
        <w:lang w:val="sr-Latn-CS"/>
      </w:rPr>
      <w:t>april</w:t>
    </w:r>
    <w:r>
      <w:rPr>
        <w:rFonts w:ascii="Calibri" w:hAnsi="Calibri"/>
        <w:sz w:val="18"/>
        <w:szCs w:val="18"/>
        <w:lang w:val="sr-Latn-CS"/>
      </w:rPr>
      <w:t>,</w:t>
    </w:r>
    <w:r w:rsidRPr="00EB6376">
      <w:rPr>
        <w:rFonts w:ascii="Calibri" w:hAnsi="Calibri"/>
        <w:sz w:val="18"/>
        <w:szCs w:val="18"/>
        <w:lang w:val="sr-Latn-CS"/>
      </w:rPr>
      <w:t xml:space="preserve"> 201</w:t>
    </w:r>
    <w:r w:rsidR="00B94B62">
      <w:rPr>
        <w:rFonts w:ascii="Calibri" w:hAnsi="Calibri"/>
        <w:sz w:val="18"/>
        <w:szCs w:val="18"/>
        <w:lang w:val="sr-Latn-CS"/>
      </w:rPr>
      <w:t>9</w:t>
    </w:r>
    <w:r w:rsidRPr="00EB6376">
      <w:rPr>
        <w:rFonts w:ascii="Calibri" w:hAnsi="Calibri"/>
        <w:sz w:val="18"/>
        <w:szCs w:val="18"/>
        <w:lang w:val="sr-Latn-CS"/>
      </w:rPr>
      <w:t xml:space="preserve">.g. , Ž.J.        Page </w:t>
    </w:r>
    <w:r w:rsidR="00B25C1E" w:rsidRPr="00EB6376">
      <w:rPr>
        <w:rFonts w:ascii="Calibri" w:hAnsi="Calibri"/>
        <w:sz w:val="18"/>
        <w:szCs w:val="18"/>
        <w:lang w:val="sr-Latn-CS"/>
      </w:rPr>
      <w:fldChar w:fldCharType="begin"/>
    </w:r>
    <w:r w:rsidRPr="00EB6376">
      <w:rPr>
        <w:rFonts w:ascii="Calibri" w:hAnsi="Calibri"/>
        <w:sz w:val="18"/>
        <w:szCs w:val="18"/>
        <w:lang w:val="sr-Latn-CS"/>
      </w:rPr>
      <w:instrText xml:space="preserve"> PAGE </w:instrText>
    </w:r>
    <w:r w:rsidR="00B25C1E" w:rsidRPr="00EB6376">
      <w:rPr>
        <w:rFonts w:ascii="Calibri" w:hAnsi="Calibri"/>
        <w:sz w:val="18"/>
        <w:szCs w:val="18"/>
        <w:lang w:val="sr-Latn-CS"/>
      </w:rPr>
      <w:fldChar w:fldCharType="separate"/>
    </w:r>
    <w:r w:rsidR="008547D1">
      <w:rPr>
        <w:rFonts w:ascii="Calibri" w:hAnsi="Calibri"/>
        <w:noProof/>
        <w:sz w:val="18"/>
        <w:szCs w:val="18"/>
        <w:lang w:val="sr-Latn-CS"/>
      </w:rPr>
      <w:t>1</w:t>
    </w:r>
    <w:r w:rsidR="00B25C1E" w:rsidRPr="00EB6376">
      <w:rPr>
        <w:rFonts w:ascii="Calibri" w:hAnsi="Calibri"/>
        <w:sz w:val="18"/>
        <w:szCs w:val="18"/>
        <w:lang w:val="sr-Latn-CS"/>
      </w:rPr>
      <w:fldChar w:fldCharType="end"/>
    </w:r>
    <w:r w:rsidRPr="00EB6376">
      <w:rPr>
        <w:rFonts w:ascii="Calibri" w:hAnsi="Calibri"/>
        <w:sz w:val="18"/>
        <w:szCs w:val="18"/>
        <w:lang w:val="sr-Latn-CS"/>
      </w:rPr>
      <w:t xml:space="preserve"> of </w:t>
    </w:r>
    <w:r w:rsidR="00B25C1E" w:rsidRPr="00EB6376">
      <w:rPr>
        <w:rFonts w:ascii="Calibri" w:hAnsi="Calibri"/>
        <w:sz w:val="18"/>
        <w:szCs w:val="18"/>
        <w:lang w:val="sr-Latn-CS"/>
      </w:rPr>
      <w:fldChar w:fldCharType="begin"/>
    </w:r>
    <w:r w:rsidRPr="00EB6376">
      <w:rPr>
        <w:rFonts w:ascii="Calibri" w:hAnsi="Calibri"/>
        <w:sz w:val="18"/>
        <w:szCs w:val="18"/>
        <w:lang w:val="sr-Latn-CS"/>
      </w:rPr>
      <w:instrText xml:space="preserve"> NUMPAGES </w:instrText>
    </w:r>
    <w:r w:rsidR="00B25C1E" w:rsidRPr="00EB6376">
      <w:rPr>
        <w:rFonts w:ascii="Calibri" w:hAnsi="Calibri"/>
        <w:sz w:val="18"/>
        <w:szCs w:val="18"/>
        <w:lang w:val="sr-Latn-CS"/>
      </w:rPr>
      <w:fldChar w:fldCharType="separate"/>
    </w:r>
    <w:r w:rsidR="008547D1">
      <w:rPr>
        <w:rFonts w:ascii="Calibri" w:hAnsi="Calibri"/>
        <w:noProof/>
        <w:sz w:val="18"/>
        <w:szCs w:val="18"/>
        <w:lang w:val="sr-Latn-CS"/>
      </w:rPr>
      <w:t>5</w:t>
    </w:r>
    <w:r w:rsidR="00B25C1E" w:rsidRPr="00EB6376">
      <w:rPr>
        <w:rFonts w:ascii="Calibri" w:hAnsi="Calibri"/>
        <w:sz w:val="18"/>
        <w:szCs w:val="18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84" w:rsidRDefault="00B03F84">
      <w:r>
        <w:separator/>
      </w:r>
    </w:p>
  </w:footnote>
  <w:footnote w:type="continuationSeparator" w:id="0">
    <w:p w:rsidR="00B03F84" w:rsidRDefault="00B0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F6" w:rsidRPr="00EB6376" w:rsidRDefault="003C42F6">
    <w:pPr>
      <w:pStyle w:val="Header"/>
      <w:rPr>
        <w:rFonts w:ascii="Calibri" w:hAnsi="Calibri"/>
        <w:sz w:val="18"/>
        <w:szCs w:val="18"/>
        <w:lang w:val="sr-Latn-CS"/>
      </w:rPr>
    </w:pPr>
    <w:r w:rsidRPr="00EB6376">
      <w:rPr>
        <w:rFonts w:ascii="Calibri" w:hAnsi="Calibri"/>
        <w:sz w:val="18"/>
        <w:szCs w:val="18"/>
        <w:lang w:val="sr-Latn-CS"/>
      </w:rPr>
      <w:t>Institut za onkologiju i radiologiju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80"/>
    <w:multiLevelType w:val="hybridMultilevel"/>
    <w:tmpl w:val="83DC37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64829C6"/>
    <w:multiLevelType w:val="hybridMultilevel"/>
    <w:tmpl w:val="1414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220"/>
    <w:multiLevelType w:val="hybridMultilevel"/>
    <w:tmpl w:val="44DE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AD6"/>
    <w:multiLevelType w:val="hybridMultilevel"/>
    <w:tmpl w:val="55B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3580"/>
    <w:multiLevelType w:val="hybridMultilevel"/>
    <w:tmpl w:val="62F00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7A0F"/>
    <w:multiLevelType w:val="hybridMultilevel"/>
    <w:tmpl w:val="ECFC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43688"/>
    <w:multiLevelType w:val="hybridMultilevel"/>
    <w:tmpl w:val="FCFE5598"/>
    <w:lvl w:ilvl="0" w:tplc="6D84EA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4D5809"/>
    <w:multiLevelType w:val="hybridMultilevel"/>
    <w:tmpl w:val="E9FE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A78B4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F0B99"/>
    <w:multiLevelType w:val="hybridMultilevel"/>
    <w:tmpl w:val="9D7A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2B61"/>
    <w:multiLevelType w:val="hybridMultilevel"/>
    <w:tmpl w:val="AA78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56D2B"/>
    <w:multiLevelType w:val="hybridMultilevel"/>
    <w:tmpl w:val="6EB22E28"/>
    <w:lvl w:ilvl="0" w:tplc="F2D6AC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C0FD2"/>
    <w:multiLevelType w:val="hybridMultilevel"/>
    <w:tmpl w:val="B3F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0F6F"/>
    <w:multiLevelType w:val="hybridMultilevel"/>
    <w:tmpl w:val="72C681D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953"/>
    <w:multiLevelType w:val="hybridMultilevel"/>
    <w:tmpl w:val="EDC67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926AF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5D7A"/>
    <w:multiLevelType w:val="hybridMultilevel"/>
    <w:tmpl w:val="FFD2B6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74792"/>
    <w:multiLevelType w:val="hybridMultilevel"/>
    <w:tmpl w:val="F3E8C774"/>
    <w:lvl w:ilvl="0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541B5997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B2DE7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9537A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532FC"/>
    <w:multiLevelType w:val="hybridMultilevel"/>
    <w:tmpl w:val="30B0378E"/>
    <w:lvl w:ilvl="0" w:tplc="A858E58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E434E5"/>
    <w:multiLevelType w:val="hybridMultilevel"/>
    <w:tmpl w:val="D2549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47E1C"/>
    <w:multiLevelType w:val="hybridMultilevel"/>
    <w:tmpl w:val="90E4E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7407AA"/>
    <w:multiLevelType w:val="hybridMultilevel"/>
    <w:tmpl w:val="905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A1ADA"/>
    <w:multiLevelType w:val="hybridMultilevel"/>
    <w:tmpl w:val="A52E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B3DC8"/>
    <w:multiLevelType w:val="hybridMultilevel"/>
    <w:tmpl w:val="BDF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E23B4"/>
    <w:multiLevelType w:val="hybridMultilevel"/>
    <w:tmpl w:val="27DE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175E2"/>
    <w:multiLevelType w:val="hybridMultilevel"/>
    <w:tmpl w:val="72B069E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0C47"/>
    <w:multiLevelType w:val="hybridMultilevel"/>
    <w:tmpl w:val="3F2A7E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10C256A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07AC"/>
    <w:multiLevelType w:val="hybridMultilevel"/>
    <w:tmpl w:val="F39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24DF5"/>
    <w:multiLevelType w:val="hybridMultilevel"/>
    <w:tmpl w:val="F550B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1"/>
  </w:num>
  <w:num w:numId="5">
    <w:abstractNumId w:val="19"/>
  </w:num>
  <w:num w:numId="6">
    <w:abstractNumId w:val="18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29"/>
  </w:num>
  <w:num w:numId="15">
    <w:abstractNumId w:val="27"/>
  </w:num>
  <w:num w:numId="16">
    <w:abstractNumId w:val="32"/>
  </w:num>
  <w:num w:numId="17">
    <w:abstractNumId w:val="17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0"/>
  </w:num>
  <w:num w:numId="22">
    <w:abstractNumId w:val="11"/>
  </w:num>
  <w:num w:numId="23">
    <w:abstractNumId w:val="4"/>
  </w:num>
  <w:num w:numId="24">
    <w:abstractNumId w:val="24"/>
  </w:num>
  <w:num w:numId="25">
    <w:abstractNumId w:val="16"/>
  </w:num>
  <w:num w:numId="26">
    <w:abstractNumId w:val="34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0"/>
  </w:num>
  <w:num w:numId="31">
    <w:abstractNumId w:val="33"/>
  </w:num>
  <w:num w:numId="32">
    <w:abstractNumId w:val="21"/>
  </w:num>
  <w:num w:numId="33">
    <w:abstractNumId w:val="14"/>
  </w:num>
  <w:num w:numId="34">
    <w:abstractNumId w:val="26"/>
  </w:num>
  <w:num w:numId="35">
    <w:abstractNumId w:val="9"/>
  </w:num>
  <w:num w:numId="36">
    <w:abstractNumId w:val="25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3"/>
    <w:rsid w:val="00013183"/>
    <w:rsid w:val="00022060"/>
    <w:rsid w:val="000222C7"/>
    <w:rsid w:val="00022643"/>
    <w:rsid w:val="000244EE"/>
    <w:rsid w:val="0004052D"/>
    <w:rsid w:val="00055F1F"/>
    <w:rsid w:val="00062F8B"/>
    <w:rsid w:val="000657CE"/>
    <w:rsid w:val="00071685"/>
    <w:rsid w:val="000873B2"/>
    <w:rsid w:val="00095DE4"/>
    <w:rsid w:val="00097EFA"/>
    <w:rsid w:val="000A63BC"/>
    <w:rsid w:val="000B38B9"/>
    <w:rsid w:val="000B4C1F"/>
    <w:rsid w:val="000B676E"/>
    <w:rsid w:val="000C1453"/>
    <w:rsid w:val="000C17FF"/>
    <w:rsid w:val="000C6FF6"/>
    <w:rsid w:val="000D1A73"/>
    <w:rsid w:val="000D6269"/>
    <w:rsid w:val="000E00BE"/>
    <w:rsid w:val="000E4A91"/>
    <w:rsid w:val="000F79B4"/>
    <w:rsid w:val="00117BBF"/>
    <w:rsid w:val="0012058D"/>
    <w:rsid w:val="001355C0"/>
    <w:rsid w:val="00142C9F"/>
    <w:rsid w:val="00165159"/>
    <w:rsid w:val="00177900"/>
    <w:rsid w:val="0018098D"/>
    <w:rsid w:val="00193346"/>
    <w:rsid w:val="001A3642"/>
    <w:rsid w:val="001B4422"/>
    <w:rsid w:val="001C0FEC"/>
    <w:rsid w:val="001D682C"/>
    <w:rsid w:val="002048D2"/>
    <w:rsid w:val="002050BE"/>
    <w:rsid w:val="002118A5"/>
    <w:rsid w:val="002161F0"/>
    <w:rsid w:val="00216210"/>
    <w:rsid w:val="00216F97"/>
    <w:rsid w:val="00220666"/>
    <w:rsid w:val="00223355"/>
    <w:rsid w:val="002347F3"/>
    <w:rsid w:val="002442AF"/>
    <w:rsid w:val="00250E41"/>
    <w:rsid w:val="002660AC"/>
    <w:rsid w:val="002719AA"/>
    <w:rsid w:val="00276535"/>
    <w:rsid w:val="00280F1F"/>
    <w:rsid w:val="00291402"/>
    <w:rsid w:val="00292ADB"/>
    <w:rsid w:val="002950B1"/>
    <w:rsid w:val="002A6312"/>
    <w:rsid w:val="002B6746"/>
    <w:rsid w:val="002C54A6"/>
    <w:rsid w:val="002C690E"/>
    <w:rsid w:val="002F2959"/>
    <w:rsid w:val="003018CF"/>
    <w:rsid w:val="00301A5E"/>
    <w:rsid w:val="00310150"/>
    <w:rsid w:val="00315BA9"/>
    <w:rsid w:val="003212BD"/>
    <w:rsid w:val="00343AEF"/>
    <w:rsid w:val="00345643"/>
    <w:rsid w:val="00345D3A"/>
    <w:rsid w:val="003521BC"/>
    <w:rsid w:val="00370C20"/>
    <w:rsid w:val="00395251"/>
    <w:rsid w:val="003C42F6"/>
    <w:rsid w:val="003C5D03"/>
    <w:rsid w:val="003D03C6"/>
    <w:rsid w:val="003E1104"/>
    <w:rsid w:val="003E113C"/>
    <w:rsid w:val="003E24C9"/>
    <w:rsid w:val="003E54BA"/>
    <w:rsid w:val="003E58B5"/>
    <w:rsid w:val="003F12E0"/>
    <w:rsid w:val="003F687E"/>
    <w:rsid w:val="00405604"/>
    <w:rsid w:val="004304CB"/>
    <w:rsid w:val="00436B1F"/>
    <w:rsid w:val="00451CF7"/>
    <w:rsid w:val="00454CBA"/>
    <w:rsid w:val="0046650A"/>
    <w:rsid w:val="004704F9"/>
    <w:rsid w:val="0047262C"/>
    <w:rsid w:val="00482388"/>
    <w:rsid w:val="00483131"/>
    <w:rsid w:val="004838A8"/>
    <w:rsid w:val="004C1F42"/>
    <w:rsid w:val="004C458D"/>
    <w:rsid w:val="004F2159"/>
    <w:rsid w:val="004F7756"/>
    <w:rsid w:val="005307BB"/>
    <w:rsid w:val="00552DE5"/>
    <w:rsid w:val="00555EF1"/>
    <w:rsid w:val="00571073"/>
    <w:rsid w:val="00573867"/>
    <w:rsid w:val="00573F56"/>
    <w:rsid w:val="00581A97"/>
    <w:rsid w:val="005A3958"/>
    <w:rsid w:val="005D022C"/>
    <w:rsid w:val="005D06B6"/>
    <w:rsid w:val="005D410C"/>
    <w:rsid w:val="005E30BF"/>
    <w:rsid w:val="005F0293"/>
    <w:rsid w:val="005F1926"/>
    <w:rsid w:val="00624F0E"/>
    <w:rsid w:val="00645CDA"/>
    <w:rsid w:val="00647B92"/>
    <w:rsid w:val="006520D8"/>
    <w:rsid w:val="00671E46"/>
    <w:rsid w:val="0067399E"/>
    <w:rsid w:val="0068030B"/>
    <w:rsid w:val="006825DD"/>
    <w:rsid w:val="00683B56"/>
    <w:rsid w:val="00685470"/>
    <w:rsid w:val="00685F88"/>
    <w:rsid w:val="006A50EB"/>
    <w:rsid w:val="006B5980"/>
    <w:rsid w:val="006B5E3B"/>
    <w:rsid w:val="006E12A8"/>
    <w:rsid w:val="006F5ECE"/>
    <w:rsid w:val="00702253"/>
    <w:rsid w:val="00721BE8"/>
    <w:rsid w:val="00772C4A"/>
    <w:rsid w:val="00772D9F"/>
    <w:rsid w:val="00773A25"/>
    <w:rsid w:val="0078724F"/>
    <w:rsid w:val="007A3CBF"/>
    <w:rsid w:val="007B7496"/>
    <w:rsid w:val="007D2725"/>
    <w:rsid w:val="007E72F8"/>
    <w:rsid w:val="007F7939"/>
    <w:rsid w:val="0081134D"/>
    <w:rsid w:val="008148EB"/>
    <w:rsid w:val="00816680"/>
    <w:rsid w:val="00820939"/>
    <w:rsid w:val="00831C5B"/>
    <w:rsid w:val="00842AE6"/>
    <w:rsid w:val="0085129A"/>
    <w:rsid w:val="008512DD"/>
    <w:rsid w:val="0085385C"/>
    <w:rsid w:val="008547D1"/>
    <w:rsid w:val="00875BC5"/>
    <w:rsid w:val="00877225"/>
    <w:rsid w:val="0088754D"/>
    <w:rsid w:val="008908D7"/>
    <w:rsid w:val="00891F89"/>
    <w:rsid w:val="00894923"/>
    <w:rsid w:val="00897762"/>
    <w:rsid w:val="008A0045"/>
    <w:rsid w:val="008A3B86"/>
    <w:rsid w:val="008C3359"/>
    <w:rsid w:val="008C49A0"/>
    <w:rsid w:val="00905BFB"/>
    <w:rsid w:val="00920F83"/>
    <w:rsid w:val="009246EA"/>
    <w:rsid w:val="00934555"/>
    <w:rsid w:val="0094181B"/>
    <w:rsid w:val="00943546"/>
    <w:rsid w:val="00985B32"/>
    <w:rsid w:val="0099597F"/>
    <w:rsid w:val="009A229A"/>
    <w:rsid w:val="009A4834"/>
    <w:rsid w:val="009B47EE"/>
    <w:rsid w:val="009C3A80"/>
    <w:rsid w:val="009C3D4F"/>
    <w:rsid w:val="009D4713"/>
    <w:rsid w:val="009D536E"/>
    <w:rsid w:val="009D7073"/>
    <w:rsid w:val="009F72FF"/>
    <w:rsid w:val="00A02119"/>
    <w:rsid w:val="00A0426C"/>
    <w:rsid w:val="00A107BA"/>
    <w:rsid w:val="00A16307"/>
    <w:rsid w:val="00A20096"/>
    <w:rsid w:val="00A22D50"/>
    <w:rsid w:val="00A25EF2"/>
    <w:rsid w:val="00A34A78"/>
    <w:rsid w:val="00A37605"/>
    <w:rsid w:val="00A503A4"/>
    <w:rsid w:val="00A516BF"/>
    <w:rsid w:val="00A748AC"/>
    <w:rsid w:val="00A749D6"/>
    <w:rsid w:val="00AA2312"/>
    <w:rsid w:val="00AA5A41"/>
    <w:rsid w:val="00AB12A1"/>
    <w:rsid w:val="00AB33DB"/>
    <w:rsid w:val="00AD0C5E"/>
    <w:rsid w:val="00AD33D3"/>
    <w:rsid w:val="00AD64A4"/>
    <w:rsid w:val="00AF4568"/>
    <w:rsid w:val="00B03F84"/>
    <w:rsid w:val="00B25C1E"/>
    <w:rsid w:val="00B40959"/>
    <w:rsid w:val="00B40DEF"/>
    <w:rsid w:val="00B90848"/>
    <w:rsid w:val="00B94B62"/>
    <w:rsid w:val="00BA18D6"/>
    <w:rsid w:val="00BA2494"/>
    <w:rsid w:val="00BA76AF"/>
    <w:rsid w:val="00BB4DBD"/>
    <w:rsid w:val="00BC1079"/>
    <w:rsid w:val="00BC22F6"/>
    <w:rsid w:val="00BD7143"/>
    <w:rsid w:val="00BE037E"/>
    <w:rsid w:val="00BE66E9"/>
    <w:rsid w:val="00BE7FAF"/>
    <w:rsid w:val="00BF7462"/>
    <w:rsid w:val="00C01CD9"/>
    <w:rsid w:val="00C06568"/>
    <w:rsid w:val="00C177D6"/>
    <w:rsid w:val="00C2034A"/>
    <w:rsid w:val="00C32748"/>
    <w:rsid w:val="00C34AE8"/>
    <w:rsid w:val="00C51742"/>
    <w:rsid w:val="00C53DEC"/>
    <w:rsid w:val="00C57563"/>
    <w:rsid w:val="00C60220"/>
    <w:rsid w:val="00C627F6"/>
    <w:rsid w:val="00C648E6"/>
    <w:rsid w:val="00C6538A"/>
    <w:rsid w:val="00C72FB7"/>
    <w:rsid w:val="00C73475"/>
    <w:rsid w:val="00C80271"/>
    <w:rsid w:val="00C810BB"/>
    <w:rsid w:val="00C921E5"/>
    <w:rsid w:val="00CC03F1"/>
    <w:rsid w:val="00CC31E6"/>
    <w:rsid w:val="00CC3EB2"/>
    <w:rsid w:val="00CC6457"/>
    <w:rsid w:val="00CE0B84"/>
    <w:rsid w:val="00CF6843"/>
    <w:rsid w:val="00D015EE"/>
    <w:rsid w:val="00D136C3"/>
    <w:rsid w:val="00D2182C"/>
    <w:rsid w:val="00D241AD"/>
    <w:rsid w:val="00D30DE0"/>
    <w:rsid w:val="00D34501"/>
    <w:rsid w:val="00D34A61"/>
    <w:rsid w:val="00D43ABB"/>
    <w:rsid w:val="00D458DC"/>
    <w:rsid w:val="00D46F35"/>
    <w:rsid w:val="00D56AF2"/>
    <w:rsid w:val="00D75AC3"/>
    <w:rsid w:val="00D83E2E"/>
    <w:rsid w:val="00D9150C"/>
    <w:rsid w:val="00D92D02"/>
    <w:rsid w:val="00D934B9"/>
    <w:rsid w:val="00D93FBF"/>
    <w:rsid w:val="00D958EA"/>
    <w:rsid w:val="00D96902"/>
    <w:rsid w:val="00DA7B27"/>
    <w:rsid w:val="00DB4FE1"/>
    <w:rsid w:val="00DC3B83"/>
    <w:rsid w:val="00DC5D66"/>
    <w:rsid w:val="00DC6317"/>
    <w:rsid w:val="00DD004D"/>
    <w:rsid w:val="00DD30C3"/>
    <w:rsid w:val="00DD3B60"/>
    <w:rsid w:val="00DF420E"/>
    <w:rsid w:val="00DF466A"/>
    <w:rsid w:val="00E0084C"/>
    <w:rsid w:val="00E03717"/>
    <w:rsid w:val="00E06D54"/>
    <w:rsid w:val="00E07FF3"/>
    <w:rsid w:val="00E17C1B"/>
    <w:rsid w:val="00E26DB9"/>
    <w:rsid w:val="00E35AB4"/>
    <w:rsid w:val="00E558D0"/>
    <w:rsid w:val="00E82CB0"/>
    <w:rsid w:val="00E83478"/>
    <w:rsid w:val="00EA0D3F"/>
    <w:rsid w:val="00EB00BA"/>
    <w:rsid w:val="00EB5685"/>
    <w:rsid w:val="00EB6376"/>
    <w:rsid w:val="00EC2549"/>
    <w:rsid w:val="00ED1B53"/>
    <w:rsid w:val="00EF00E0"/>
    <w:rsid w:val="00EF147B"/>
    <w:rsid w:val="00EF504E"/>
    <w:rsid w:val="00F04EBB"/>
    <w:rsid w:val="00F0786E"/>
    <w:rsid w:val="00F13EEC"/>
    <w:rsid w:val="00F21AD1"/>
    <w:rsid w:val="00F24D74"/>
    <w:rsid w:val="00F52E7B"/>
    <w:rsid w:val="00F6041B"/>
    <w:rsid w:val="00F70A68"/>
    <w:rsid w:val="00F717C6"/>
    <w:rsid w:val="00F92ED3"/>
    <w:rsid w:val="00F93799"/>
    <w:rsid w:val="00F97EA7"/>
    <w:rsid w:val="00FA18DE"/>
    <w:rsid w:val="00FA5F70"/>
    <w:rsid w:val="00FB46F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43EE1-FB08-43CD-97BA-CD01EE5F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9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2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9B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1B53"/>
    <w:rPr>
      <w:color w:val="0000FF"/>
      <w:u w:val="single"/>
    </w:rPr>
  </w:style>
  <w:style w:type="table" w:styleId="TableGrid">
    <w:name w:val="Table Grid"/>
    <w:basedOn w:val="TableNormal"/>
    <w:uiPriority w:val="59"/>
    <w:rsid w:val="00C5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EB"/>
    <w:pPr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rsid w:val="005F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F0293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685F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85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93AC-3658-4403-9971-091A1BC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12415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2019-04-04T12:34:00Z</cp:lastPrinted>
  <dcterms:created xsi:type="dcterms:W3CDTF">2019-04-05T05:12:00Z</dcterms:created>
  <dcterms:modified xsi:type="dcterms:W3CDTF">2019-04-05T05:12:00Z</dcterms:modified>
</cp:coreProperties>
</file>