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0F" w:rsidRPr="0019490F" w:rsidRDefault="0019490F" w:rsidP="0019490F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19490F">
        <w:rPr>
          <w:rFonts w:ascii="Times New Roman" w:hAnsi="Times New Roman" w:cs="Times New Roman"/>
          <w:sz w:val="24"/>
          <w:szCs w:val="24"/>
          <w:lang w:val="sr-Latn-CS"/>
        </w:rPr>
        <w:t>На основу члана  108 .Закона о јавним набавкама (Службени гласник РС бр.124/12, 14/15, 68/15) а у вези са чланом 32.Закона о јавним набавкама и усвојеног Извештаја Комисије о стручн</w:t>
      </w:r>
      <w:r w:rsidR="000E2C4F">
        <w:rPr>
          <w:rFonts w:ascii="Times New Roman" w:hAnsi="Times New Roman" w:cs="Times New Roman"/>
          <w:sz w:val="24"/>
          <w:szCs w:val="24"/>
          <w:lang w:val="sr-Latn-CS"/>
        </w:rPr>
        <w:t>ој оцени понуда бр.14-118/1 од 21</w:t>
      </w:r>
      <w:r w:rsidRPr="0019490F">
        <w:rPr>
          <w:rFonts w:ascii="Times New Roman" w:hAnsi="Times New Roman" w:cs="Times New Roman"/>
          <w:sz w:val="24"/>
          <w:szCs w:val="24"/>
          <w:lang w:val="sr-Latn-CS"/>
        </w:rPr>
        <w:t>.0</w:t>
      </w:r>
      <w:r w:rsidR="000E2C4F">
        <w:rPr>
          <w:rFonts w:ascii="Times New Roman" w:hAnsi="Times New Roman" w:cs="Times New Roman"/>
          <w:sz w:val="24"/>
          <w:szCs w:val="24"/>
          <w:lang w:val="sr-Latn-CS"/>
        </w:rPr>
        <w:t>6.2017</w:t>
      </w:r>
      <w:r w:rsidRPr="0019490F">
        <w:rPr>
          <w:rFonts w:ascii="Times New Roman" w:hAnsi="Times New Roman" w:cs="Times New Roman"/>
          <w:sz w:val="24"/>
          <w:szCs w:val="24"/>
          <w:lang w:val="sr-Latn-CS"/>
        </w:rPr>
        <w:t>.године ,в.д. Директор</w:t>
      </w:r>
      <w:r w:rsidR="00FC0B2B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9490F">
        <w:rPr>
          <w:rFonts w:ascii="Times New Roman" w:hAnsi="Times New Roman" w:cs="Times New Roman"/>
          <w:sz w:val="24"/>
          <w:szCs w:val="24"/>
          <w:lang w:val="sr-Latn-CS"/>
        </w:rPr>
        <w:t xml:space="preserve"> Института доноси </w:t>
      </w:r>
    </w:p>
    <w:p w:rsidR="0019490F" w:rsidRPr="0019490F" w:rsidRDefault="0019490F" w:rsidP="0019490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9490F" w:rsidRPr="008152EA" w:rsidRDefault="0019490F" w:rsidP="0019490F">
      <w:pPr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19490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</w:t>
      </w:r>
      <w:r w:rsidR="008152E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8152EA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8152EA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ОДЛУКУ О ДОДЕЛИ УГОВОРА  </w:t>
      </w:r>
    </w:p>
    <w:p w:rsidR="007566FB" w:rsidRPr="00F0374E" w:rsidRDefault="00D005FB" w:rsidP="007566FB">
      <w:pPr>
        <w:ind w:right="-49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Којом наручилац </w:t>
      </w:r>
      <w:r w:rsidR="007566FB">
        <w:rPr>
          <w:rFonts w:ascii="Times New Roman" w:hAnsi="Times New Roman" w:cs="Times New Roman"/>
          <w:sz w:val="24"/>
          <w:szCs w:val="24"/>
          <w:lang w:val="sr-Cyrl-RS"/>
        </w:rPr>
        <w:t xml:space="preserve">уговор за услуге осигурања запослених (партија бр.2) и услуга осигурања по основу опште и професионалне одговорности (партија бр.3) додељује подносиоцима заједниче понуде као  </w:t>
      </w:r>
      <w:r w:rsidR="007566FB" w:rsidRPr="00F0374E">
        <w:rPr>
          <w:rFonts w:ascii="Times New Roman" w:hAnsi="Times New Roman" w:cs="Times New Roman"/>
          <w:b/>
          <w:sz w:val="24"/>
          <w:szCs w:val="24"/>
        </w:rPr>
        <w:t xml:space="preserve">групе понуђача „ДДОР НОВИ САД“ Бул.Михајла Пупина 8, Нови Сад „УНИQА НЕЖИВОТНО ОСИГУРАЊЕ“, Милутина Миланковића 134 г, Београд. </w:t>
      </w:r>
    </w:p>
    <w:p w:rsidR="007566FB" w:rsidRDefault="007566FB" w:rsidP="007566FB">
      <w:pPr>
        <w:ind w:right="-495" w:firstLine="360"/>
        <w:rPr>
          <w:rFonts w:ascii="Times New Roman" w:hAnsi="Times New Roman" w:cs="Times New Roman"/>
          <w:sz w:val="24"/>
          <w:szCs w:val="24"/>
        </w:rPr>
      </w:pPr>
      <w:r w:rsidRPr="00F16DB8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бр.1 (осигурање имовине)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566FB">
        <w:rPr>
          <w:rFonts w:ascii="Times New Roman" w:hAnsi="Times New Roman" w:cs="Times New Roman"/>
          <w:b/>
          <w:sz w:val="24"/>
          <w:szCs w:val="24"/>
          <w:lang w:val="sr-Cyrl-RS"/>
        </w:rPr>
        <w:t>на предлог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Комисије наручиоца </w:t>
      </w:r>
      <w:r w:rsidRPr="00F16D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в.д. директора Института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 донео</w:t>
      </w:r>
      <w:r w:rsidRPr="00F16D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Одлуку о обустави поступка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3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852C5" w:rsidRDefault="003852C5" w:rsidP="0019490F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566FB" w:rsidRPr="000E2C4F" w:rsidRDefault="007566FB" w:rsidP="0019490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0E2C4F">
        <w:rPr>
          <w:rFonts w:ascii="Times New Roman" w:hAnsi="Times New Roman" w:cs="Times New Roman"/>
          <w:b/>
          <w:sz w:val="24"/>
          <w:szCs w:val="24"/>
          <w:lang w:val="sr-Cyrl-RS"/>
        </w:rPr>
        <w:t>О Б Р А З Л О Ж Е Њ Е</w:t>
      </w:r>
    </w:p>
    <w:p w:rsidR="007566FB" w:rsidRPr="007566FB" w:rsidRDefault="007566FB" w:rsidP="0019490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493" w:rsidRPr="00FB373E" w:rsidRDefault="0019490F" w:rsidP="0019490F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19490F">
        <w:rPr>
          <w:rFonts w:ascii="Times New Roman" w:hAnsi="Times New Roman" w:cs="Times New Roman"/>
          <w:sz w:val="24"/>
          <w:szCs w:val="24"/>
          <w:lang w:val="sr-Latn-CS"/>
        </w:rPr>
        <w:t>Одлука о додели уговора  донета је  након спроведеног отвореног  поступка јавне набавке  по партијама:</w:t>
      </w:r>
      <w:r w:rsidR="009A4493" w:rsidRPr="009A44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9A4493"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у 60. отвореном поступку јавне набавке. Редни број јавне набавке у Плану јавних набавки : 5.1. 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Предметна набавка  је усвојена у Плану јавних набавки за 2017.г. по партијама са процењеним вредностима: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Осигурање имовине (зграда и опрема)</w:t>
      </w:r>
      <w:r>
        <w:rPr>
          <w:rFonts w:ascii="Times New Roman" w:hAnsi="Times New Roman" w:cs="Times New Roman"/>
          <w:sz w:val="24"/>
          <w:szCs w:val="24"/>
          <w:lang w:val="sr-Cyrl-RS"/>
        </w:rPr>
        <w:t>-партија бр.1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  <w:t>12.446.000 без пдв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_Hlk485797754"/>
      <w:r w:rsidRPr="00FB373E">
        <w:rPr>
          <w:rFonts w:ascii="Times New Roman" w:hAnsi="Times New Roman" w:cs="Times New Roman"/>
          <w:sz w:val="24"/>
          <w:szCs w:val="24"/>
          <w:lang w:val="sr-Latn-CS"/>
        </w:rPr>
        <w:t>Осигурање запослених</w:t>
      </w:r>
      <w:r>
        <w:rPr>
          <w:rFonts w:ascii="Times New Roman" w:hAnsi="Times New Roman" w:cs="Times New Roman"/>
          <w:sz w:val="24"/>
          <w:szCs w:val="24"/>
          <w:lang w:val="sr-Cyrl-RS"/>
        </w:rPr>
        <w:t>-партија бр.2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  <w:t>349.000 без пдв</w:t>
      </w:r>
    </w:p>
    <w:p w:rsidR="009A4493" w:rsidRPr="00FB373E" w:rsidRDefault="009A4493" w:rsidP="009A4493">
      <w:pPr>
        <w:ind w:right="-900"/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Осигурање по основу опште и професионалне одговорности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-партија бр.3 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480.000 без пдв</w:t>
      </w:r>
    </w:p>
    <w:bookmarkEnd w:id="0"/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Предметна набавка је дефинисана у Општем речнику набавке на позицији услуге осигурања (ознака 66510000).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Укупна вредност ове набавке у отвореном поступку по партијама како наручилац процењује и очекује је око 13.275.000,00 динара без пдв за период од годину дана од дана ступања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уговора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на снагу.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Поступак отварања понуда спроводи се дана 20.06.2017. године са почетком у 13.15 сати у Институту   за онкологију и радиологију Србије. 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Отварање понуда и стручну оцену понуда спровела је  К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омисија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наручиоца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у следећем саставу: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1. Косана Сурданов ,дипл.ецц.,председник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2. Жељко Бекчић, дипл.ецц., службеник за јавне набавке, члан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3. Милош Кукуљ, дипл.правник, члан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Поступку  отварања понуда присуств</w:t>
      </w:r>
      <w:r>
        <w:rPr>
          <w:rFonts w:ascii="Times New Roman" w:hAnsi="Times New Roman" w:cs="Times New Roman"/>
          <w:sz w:val="24"/>
          <w:szCs w:val="24"/>
          <w:lang w:val="sr-Cyrl-RS"/>
        </w:rPr>
        <w:t>ов</w:t>
      </w:r>
      <w:r>
        <w:rPr>
          <w:rFonts w:ascii="Times New Roman" w:hAnsi="Times New Roman" w:cs="Times New Roman"/>
          <w:sz w:val="24"/>
          <w:szCs w:val="24"/>
          <w:lang w:val="sr-Latn-CS"/>
        </w:rPr>
        <w:t>ао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д</w:t>
      </w:r>
      <w:r>
        <w:rPr>
          <w:rFonts w:ascii="Times New Roman" w:hAnsi="Times New Roman" w:cs="Times New Roman"/>
          <w:sz w:val="24"/>
          <w:szCs w:val="24"/>
          <w:lang w:val="sr-Latn-CS"/>
        </w:rPr>
        <w:t>оле наведени представник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понуђ</w:t>
      </w:r>
      <w:r>
        <w:rPr>
          <w:rFonts w:ascii="Times New Roman" w:hAnsi="Times New Roman" w:cs="Times New Roman"/>
          <w:sz w:val="24"/>
          <w:szCs w:val="24"/>
          <w:lang w:val="sr-Latn-CS"/>
        </w:rPr>
        <w:t>ача који је подне уредно пуномоћје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: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Пону</w:t>
      </w:r>
      <w:r w:rsidRPr="00FB373E">
        <w:rPr>
          <w:rFonts w:ascii="Times New Roman" w:hAnsi="Times New Roman" w:cs="Times New Roman"/>
          <w:sz w:val="24"/>
          <w:szCs w:val="24"/>
          <w:lang w:val="sr-Cyrl-RS"/>
        </w:rPr>
        <w:t>ђ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ач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Представник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Пуномоћје</w:t>
      </w:r>
    </w:p>
    <w:p w:rsidR="009A4493" w:rsidRPr="00FB373E" w:rsidRDefault="009A4493" w:rsidP="009A4493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„ДДОР Нови Сад“ а.д.о. Нови Сад Лела Стеваановић     1-88/30-4                  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Благовремено су пристигле  понуде следећих понуђача: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Бр. под којим је понуда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Назив или шифра понуђача </w:t>
      </w:r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Датум пријема        Сат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  <w:t>Заведена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1.22-239 </w:t>
      </w:r>
      <w:bookmarkStart w:id="1" w:name="_Hlk485727718"/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„ДДОР Нови Сад“ а.д.о. Нови Сад                   </w:t>
      </w:r>
      <w:bookmarkEnd w:id="1"/>
      <w:r w:rsidRPr="00FB373E">
        <w:rPr>
          <w:rFonts w:ascii="Times New Roman" w:hAnsi="Times New Roman" w:cs="Times New Roman"/>
          <w:sz w:val="24"/>
          <w:szCs w:val="24"/>
          <w:lang w:val="sr-Cyrl-RS"/>
        </w:rPr>
        <w:t>20.06.2017.г.         12.20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bookmarkStart w:id="2" w:name="_Hlk485727727"/>
      <w:r w:rsidRPr="00FB373E">
        <w:rPr>
          <w:rFonts w:ascii="Times New Roman" w:hAnsi="Times New Roman" w:cs="Times New Roman"/>
          <w:sz w:val="24"/>
          <w:szCs w:val="24"/>
          <w:lang w:val="sr-Cyrl-RS"/>
        </w:rPr>
        <w:t>Булевар Михајла Пупина 8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„</w:t>
      </w:r>
      <w:r w:rsidRPr="00FB373E">
        <w:rPr>
          <w:rFonts w:ascii="Times New Roman" w:hAnsi="Times New Roman" w:cs="Times New Roman"/>
          <w:sz w:val="24"/>
          <w:szCs w:val="24"/>
          <w:lang w:val="sr-Latn-RS"/>
        </w:rPr>
        <w:t xml:space="preserve">UNIQA NEŽIVOTNO OSIGURANJE“ </w:t>
      </w:r>
      <w:r w:rsidRPr="00FB373E">
        <w:rPr>
          <w:rFonts w:ascii="Times New Roman" w:hAnsi="Times New Roman" w:cs="Times New Roman"/>
          <w:sz w:val="24"/>
          <w:szCs w:val="24"/>
          <w:lang w:val="sr-Cyrl-RS"/>
        </w:rPr>
        <w:t>а.д.о., Београд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Милутина Миланковића 134 г (заједничка понуда)</w:t>
      </w:r>
    </w:p>
    <w:bookmarkEnd w:id="2"/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</w:t>
      </w:r>
      <w:r>
        <w:rPr>
          <w:rFonts w:ascii="Times New Roman" w:hAnsi="Times New Roman" w:cs="Times New Roman"/>
          <w:sz w:val="24"/>
          <w:szCs w:val="24"/>
          <w:lang w:val="sr-Latn-CS"/>
        </w:rPr>
        <w:t>еблаговремених понуда у предметној јавној набавци није било.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>Назив или шифра понуђача, број под којим је понуда заведена и цене из понуде  и евентуални други подаци о понуди (уноси се за сваког понуђача посебно).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9A4493" w:rsidRPr="00C84A22" w:rsidRDefault="009A4493" w:rsidP="009A449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84A22">
        <w:rPr>
          <w:rFonts w:ascii="Times New Roman" w:hAnsi="Times New Roman" w:cs="Times New Roman"/>
          <w:b/>
          <w:sz w:val="24"/>
          <w:szCs w:val="24"/>
          <w:lang w:val="sl-SI"/>
        </w:rPr>
        <w:t xml:space="preserve">ПОНУДА ПОНУЂАЧА: </w:t>
      </w:r>
      <w:r w:rsidRPr="00C84A22">
        <w:rPr>
          <w:rFonts w:ascii="Times New Roman" w:hAnsi="Times New Roman" w:cs="Times New Roman"/>
          <w:b/>
          <w:sz w:val="24"/>
          <w:szCs w:val="24"/>
          <w:lang w:val="sr-Cyrl-RS"/>
        </w:rPr>
        <w:t>„ДДОР Нови Сад“ а.д.о. Нови Сад, Булевар Михајла Пупина 8  и  „</w:t>
      </w:r>
      <w:r w:rsidRPr="00C84A2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UNIQA NEŽIVOTNO OSIGURANJE“ </w:t>
      </w:r>
      <w:r w:rsidRPr="00C84A22">
        <w:rPr>
          <w:rFonts w:ascii="Times New Roman" w:hAnsi="Times New Roman" w:cs="Times New Roman"/>
          <w:b/>
          <w:sz w:val="24"/>
          <w:szCs w:val="24"/>
          <w:lang w:val="sr-Cyrl-RS"/>
        </w:rPr>
        <w:t>а.д.о., Београд Милутина Миланковића 134 г (заједничка понуда)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it-IT"/>
        </w:rPr>
        <w:t xml:space="preserve">Услуга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осигурања по партијама :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9400"/>
      </w:tblGrid>
      <w:tr w:rsidR="009A4493" w:rsidRPr="00FB373E" w:rsidTr="0088607A">
        <w:trPr>
          <w:trHeight w:val="300"/>
        </w:trPr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Осигурање имовине (зграда и опрема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</w:t>
            </w:r>
            <w:proofErr w:type="gramStart"/>
            <w:r w:rsidRPr="00FB3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возила</w:t>
            </w:r>
            <w:r w:rsidRPr="00FB373E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– партија бр.1</w:t>
            </w:r>
          </w:p>
        </w:tc>
      </w:tr>
      <w:tr w:rsidR="009A4493" w:rsidRPr="00FB373E" w:rsidTr="0088607A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Осигурање </w:t>
            </w:r>
            <w:proofErr w:type="gramStart"/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запослених  -</w:t>
            </w:r>
            <w:proofErr w:type="gramEnd"/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партија бр. 2</w:t>
            </w:r>
          </w:p>
        </w:tc>
      </w:tr>
      <w:tr w:rsidR="009A4493" w:rsidRPr="00FB373E" w:rsidTr="0088607A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Осигурање по основу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опште и 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професионалне одговорности – партија бр.3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FB373E">
        <w:rPr>
          <w:rFonts w:ascii="Times New Roman" w:hAnsi="Times New Roman" w:cs="Times New Roman"/>
          <w:sz w:val="24"/>
          <w:szCs w:val="24"/>
          <w:lang w:val="sl-SI"/>
        </w:rPr>
        <w:t xml:space="preserve">Понуђач понуду подноси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као </w:t>
      </w:r>
      <w:r w:rsidRPr="00FB373E">
        <w:rPr>
          <w:rFonts w:ascii="Times New Roman" w:hAnsi="Times New Roman" w:cs="Times New Roman"/>
          <w:sz w:val="24"/>
          <w:szCs w:val="24"/>
          <w:lang w:val="sl-SI"/>
        </w:rPr>
        <w:t>: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u w:val="single"/>
          <w:lang w:val="sl-SI"/>
        </w:rPr>
      </w:pPr>
      <w:r w:rsidRPr="00FB373E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б)заједничка понуда </w:t>
      </w:r>
    </w:p>
    <w:p w:rsidR="009A4493" w:rsidRPr="00FB373E" w:rsidRDefault="009A4493" w:rsidP="009A4493">
      <w:pPr>
        <w:numPr>
          <w:ilvl w:val="4"/>
          <w:numId w:val="0"/>
        </w:numPr>
        <w:tabs>
          <w:tab w:val="num" w:pos="0"/>
        </w:tabs>
        <w:spacing w:before="240" w:after="60" w:line="270" w:lineRule="atLeast"/>
        <w:ind w:left="2410" w:hanging="708"/>
        <w:outlineLvl w:val="4"/>
        <w:rPr>
          <w:rFonts w:ascii="Times New Roman" w:hAnsi="Times New Roman" w:cs="Times New Roman"/>
          <w:bCs/>
          <w:iCs/>
          <w:kern w:val="1"/>
          <w:sz w:val="24"/>
          <w:szCs w:val="24"/>
          <w:lang w:val="x-none" w:eastAsia="ar-SA"/>
        </w:rPr>
      </w:pPr>
      <w:r w:rsidRPr="00FB373E"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val="x-none" w:eastAsia="ar-SA"/>
        </w:rPr>
        <w:t xml:space="preserve">ПАРТИЈА </w:t>
      </w:r>
      <w:r w:rsidRPr="00FB373E"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val="sr-Cyrl-CS" w:eastAsia="ar-SA"/>
        </w:rPr>
        <w:t>1.</w:t>
      </w:r>
      <w:r w:rsidRPr="00FB373E">
        <w:rPr>
          <w:rFonts w:ascii="Times New Roman" w:hAnsi="Times New Roman" w:cs="Times New Roman"/>
          <w:bCs/>
          <w:i/>
          <w:iCs/>
          <w:kern w:val="1"/>
          <w:sz w:val="24"/>
          <w:szCs w:val="24"/>
          <w:lang w:val="x-none" w:eastAsia="ar-SA"/>
        </w:rPr>
        <w:t xml:space="preserve"> – ОСИГУРАЊЕ ИМОВИНЕ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 xml:space="preserve"> БОЛНИЦА</w:t>
      </w:r>
    </w:p>
    <w:p w:rsidR="009A4493" w:rsidRPr="00FB373E" w:rsidRDefault="009A4493" w:rsidP="009A449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ОСИГУРАЊЕ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РИЗИКА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ПОЖАРА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НЕКИХ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ДРУГИХ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ОПАСНОСТИ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2565"/>
        <w:gridCol w:w="1291"/>
        <w:gridCol w:w="2334"/>
        <w:gridCol w:w="1922"/>
      </w:tblGrid>
      <w:tr w:rsidR="009A4493" w:rsidRPr="00FB373E" w:rsidTr="0088607A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Ред. Бр.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Предмет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Површина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Сума осигурања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</w:p>
        </w:tc>
      </w:tr>
      <w:tr w:rsidR="009A4493" w:rsidRPr="00FB373E" w:rsidTr="0088607A"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56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ђ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евински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објекти</w:t>
            </w:r>
          </w:p>
        </w:tc>
        <w:tc>
          <w:tcPr>
            <w:tcW w:w="129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14820м2</w:t>
            </w:r>
          </w:p>
        </w:tc>
        <w:tc>
          <w:tcPr>
            <w:tcW w:w="23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926,250,000.00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205.565,00</w:t>
            </w:r>
          </w:p>
        </w:tc>
      </w:tr>
      <w:tr w:rsidR="009A4493" w:rsidRPr="00FB373E" w:rsidTr="0088607A">
        <w:tc>
          <w:tcPr>
            <w:tcW w:w="8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2.</w:t>
            </w:r>
          </w:p>
        </w:tc>
        <w:tc>
          <w:tcPr>
            <w:tcW w:w="256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Опрема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намештај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укупно</w:t>
            </w:r>
          </w:p>
        </w:tc>
        <w:tc>
          <w:tcPr>
            <w:tcW w:w="1291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233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2,154,337,011.96</w:t>
            </w:r>
          </w:p>
        </w:tc>
        <w:tc>
          <w:tcPr>
            <w:tcW w:w="19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1.043.474,00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373E">
        <w:rPr>
          <w:rFonts w:ascii="Times New Roman" w:hAnsi="Times New Roman" w:cs="Times New Roman"/>
          <w:i/>
          <w:sz w:val="24"/>
          <w:szCs w:val="24"/>
          <w:u w:val="single"/>
        </w:rPr>
        <w:t>ПОНУДА ТРЕБА ДА САДРЖИ:</w:t>
      </w:r>
    </w:p>
    <w:p w:rsidR="009A4493" w:rsidRPr="00FB373E" w:rsidRDefault="009A4493" w:rsidP="009A44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373E">
        <w:rPr>
          <w:rFonts w:ascii="Times New Roman" w:eastAsia="Calibri" w:hAnsi="Times New Roman" w:cs="Times New Roman"/>
          <w:i/>
          <w:sz w:val="24"/>
          <w:szCs w:val="24"/>
        </w:rPr>
        <w:t>Осигурање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грађевинских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објеката и опреме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ризика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пожара и неких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других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опасности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са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укљученим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допунским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ризиком – излив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воде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из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инсталација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 xml:space="preserve">на „И </w:t>
      </w:r>
      <w:proofErr w:type="gramStart"/>
      <w:r w:rsidRPr="00FB373E">
        <w:rPr>
          <w:rFonts w:ascii="Times New Roman" w:eastAsia="Calibri" w:hAnsi="Times New Roman" w:cs="Times New Roman"/>
          <w:i/>
          <w:sz w:val="24"/>
          <w:szCs w:val="24"/>
        </w:rPr>
        <w:t>ризик“ од</w:t>
      </w:r>
      <w:proofErr w:type="gramEnd"/>
      <w:r w:rsidRPr="00FB373E">
        <w:rPr>
          <w:rFonts w:ascii="Times New Roman" w:eastAsia="Calibri" w:hAnsi="Times New Roman" w:cs="Times New Roman"/>
          <w:i/>
          <w:sz w:val="24"/>
          <w:szCs w:val="24"/>
        </w:rPr>
        <w:t xml:space="preserve"> 1% укупне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вредности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грађевинских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објеката и 3% од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укупне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вредности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опреме,</w:t>
      </w:r>
    </w:p>
    <w:p w:rsidR="009A4493" w:rsidRPr="00FB373E" w:rsidRDefault="009A4493" w:rsidP="009A44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373E">
        <w:rPr>
          <w:rFonts w:ascii="Times New Roman" w:eastAsia="Calibri" w:hAnsi="Times New Roman" w:cs="Times New Roman"/>
          <w:i/>
          <w:sz w:val="24"/>
          <w:szCs w:val="24"/>
        </w:rPr>
        <w:t>Опрема и намештај</w:t>
      </w:r>
      <w:r w:rsidRPr="00FB373E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i/>
          <w:sz w:val="24"/>
          <w:szCs w:val="24"/>
        </w:rPr>
        <w:t>осигурани на набавну књиговодствену вредност.</w:t>
      </w:r>
    </w:p>
    <w:p w:rsidR="009A4493" w:rsidRPr="00FB373E" w:rsidRDefault="009A4493" w:rsidP="009A44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373E">
        <w:rPr>
          <w:rFonts w:ascii="Times New Roman" w:eastAsia="Calibri" w:hAnsi="Times New Roman" w:cs="Times New Roman"/>
          <w:i/>
          <w:sz w:val="24"/>
          <w:szCs w:val="24"/>
        </w:rPr>
        <w:t>ГО на процењену вредност од 500 еура м2</w:t>
      </w:r>
    </w:p>
    <w:p w:rsidR="009A4493" w:rsidRPr="00FB373E" w:rsidRDefault="009A4493" w:rsidP="009A449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373E">
        <w:rPr>
          <w:rFonts w:ascii="Times New Roman" w:eastAsia="Calibri" w:hAnsi="Times New Roman" w:cs="Times New Roman"/>
          <w:i/>
          <w:sz w:val="24"/>
          <w:szCs w:val="24"/>
        </w:rPr>
        <w:t>Понуду доставити са откупом амортизације код делимичних штета</w:t>
      </w:r>
    </w:p>
    <w:p w:rsidR="009A4493" w:rsidRPr="00FB373E" w:rsidRDefault="009A4493" w:rsidP="009A4493">
      <w:pPr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2. ЛОМ МАШИНА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2942"/>
        <w:gridCol w:w="2903"/>
      </w:tblGrid>
      <w:tr w:rsidR="009A4493" w:rsidRPr="00FB373E" w:rsidTr="0088607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ОПРЕМА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</w:p>
        </w:tc>
      </w:tr>
      <w:tr w:rsidR="009A4493" w:rsidRPr="00FB373E" w:rsidTr="0088607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Опрема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Нова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308,943,466.45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4.884.641,00</w:t>
            </w:r>
          </w:p>
        </w:tc>
      </w:tr>
      <w:tr w:rsidR="009A4493" w:rsidRPr="00FB373E" w:rsidTr="0088607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Опрема Стара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1,061,726,468.22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16.786.738,00</w:t>
            </w:r>
          </w:p>
        </w:tc>
      </w:tr>
      <w:tr w:rsidR="009A4493" w:rsidRPr="00FB373E" w:rsidTr="0088607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Механичка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опрема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саставу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лифтови, </w:t>
            </w:r>
            <w:proofErr w:type="gramStart"/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водовод,канализација</w:t>
            </w:r>
            <w:proofErr w:type="gramEnd"/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електроинсталације, трафо станица и централна клима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40,000,000.00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395.156,00</w:t>
            </w:r>
          </w:p>
        </w:tc>
      </w:tr>
      <w:tr w:rsidR="009A4493" w:rsidRPr="00FB373E" w:rsidTr="0088607A"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Централно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Грејање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котловима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27,000,000.00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266.731,00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ПОНУДА ТРЕБА ДА САДРЖИ</w:t>
      </w:r>
    </w:p>
    <w:p w:rsidR="009A4493" w:rsidRPr="00FB373E" w:rsidRDefault="009A4493" w:rsidP="009A449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Доплатак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за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откуп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амортизације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делимичних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штета</w:t>
      </w:r>
    </w:p>
    <w:p w:rsidR="009A4493" w:rsidRPr="00FB373E" w:rsidRDefault="009A4493" w:rsidP="009A449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откуп учешћа у штети</w:t>
      </w:r>
    </w:p>
    <w:p w:rsidR="009A4493" w:rsidRPr="00FB373E" w:rsidRDefault="009A4493" w:rsidP="009A449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учешће наручиоца у штетном догађају 20,000 динара</w:t>
      </w:r>
    </w:p>
    <w:p w:rsidR="009A4493" w:rsidRPr="00FB373E" w:rsidRDefault="009A4493" w:rsidP="009A449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„ОПРЕМА </w:t>
      </w:r>
      <w:proofErr w:type="gramStart"/>
      <w:r w:rsidRPr="00FB373E">
        <w:rPr>
          <w:rFonts w:ascii="Times New Roman" w:eastAsia="Calibri" w:hAnsi="Times New Roman" w:cs="Times New Roman"/>
          <w:sz w:val="24"/>
          <w:szCs w:val="24"/>
        </w:rPr>
        <w:t>СТАРА“ процењена</w:t>
      </w:r>
      <w:proofErr w:type="gramEnd"/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 од стране наручиоца на 60% од набавне књиговодствене вредности</w:t>
      </w:r>
    </w:p>
    <w:p w:rsidR="009A4493" w:rsidRPr="00FB373E" w:rsidRDefault="009A4493" w:rsidP="009A449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„ОПРЕМА </w:t>
      </w:r>
      <w:proofErr w:type="gramStart"/>
      <w:r w:rsidRPr="00FB373E">
        <w:rPr>
          <w:rFonts w:ascii="Times New Roman" w:eastAsia="Calibri" w:hAnsi="Times New Roman" w:cs="Times New Roman"/>
          <w:sz w:val="24"/>
          <w:szCs w:val="24"/>
        </w:rPr>
        <w:t>НОВА“ осигурана</w:t>
      </w:r>
      <w:proofErr w:type="gramEnd"/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 на набавну књиговодствену вредност</w:t>
      </w:r>
    </w:p>
    <w:p w:rsidR="009A4493" w:rsidRPr="00FB373E" w:rsidRDefault="009A4493" w:rsidP="009A4493">
      <w:pPr>
        <w:numPr>
          <w:ilvl w:val="0"/>
          <w:numId w:val="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Понуда без примене начела под или над осигурања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3. ПРОВАЛНА КРАЂА И РАЗБОЈНИШТВО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4"/>
        <w:gridCol w:w="2530"/>
        <w:gridCol w:w="2622"/>
      </w:tblGrid>
      <w:tr w:rsidR="009A4493" w:rsidRPr="00FB373E" w:rsidTr="0088607A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Предмет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</w:p>
        </w:tc>
      </w:tr>
      <w:tr w:rsidR="009A4493" w:rsidRPr="00FB373E" w:rsidTr="0088607A"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Намештај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Уређај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закључаним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објектима и залихе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10,000,000.00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142.485,00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ПОНУДА ТРЕБА ДА САДРЖИ</w:t>
      </w:r>
    </w:p>
    <w:p w:rsidR="009A4493" w:rsidRPr="00FB373E" w:rsidRDefault="009A4493" w:rsidP="009A4493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Осигурање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уговорено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исцрпиви 1 ризик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суму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коју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је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одредио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наручилац</w:t>
      </w:r>
      <w:r w:rsidRPr="00FB37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4493" w:rsidRPr="00FB373E" w:rsidRDefault="009A4493" w:rsidP="009A4493">
      <w:pPr>
        <w:numPr>
          <w:ilvl w:val="0"/>
          <w:numId w:val="9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Премију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обрачунати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без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откупа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одбитне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франшизе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4. ОСИГУРАЊЕ ЗАЛИХА ОД ПОЖАРА И НЕКИХ ДРУГИХ 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7"/>
        <w:gridCol w:w="2349"/>
        <w:gridCol w:w="2400"/>
      </w:tblGrid>
      <w:tr w:rsidR="009A4493" w:rsidRPr="00FB373E" w:rsidTr="0088607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Предмет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</w:p>
        </w:tc>
      </w:tr>
      <w:tr w:rsidR="009A4493" w:rsidRPr="00FB373E" w:rsidTr="0088607A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Залихе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књиговодственој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евиденцији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лекови, санитетски, потрошни и технички материјал, текстилни, канцеларијски, средства за хигијену, намирнице и остали материјал.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129,863,697.00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131.965,00</w:t>
            </w:r>
          </w:p>
        </w:tc>
      </w:tr>
    </w:tbl>
    <w:p w:rsidR="009A4493" w:rsidRPr="00FB373E" w:rsidRDefault="009A4493" w:rsidP="009A4493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ПОНУДА ТРЕБА ДА САДРЖИ</w:t>
      </w:r>
    </w:p>
    <w:p w:rsidR="009A4493" w:rsidRPr="00FB373E" w:rsidRDefault="009A4493" w:rsidP="009A4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Излив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воде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из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инсталација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на 1 ризик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на 10% укупне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вредности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залиха</w:t>
      </w:r>
    </w:p>
    <w:p w:rsidR="009A4493" w:rsidRPr="00FB373E" w:rsidRDefault="009A4493" w:rsidP="009A449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поплава бујица и високе воде на први ризик на 10% од укупне вредности залиха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4493" w:rsidRPr="00FB373E" w:rsidRDefault="009A4493" w:rsidP="009A449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</w:rPr>
        <w:t>ОСИГУРАЊЕ МОТОРНИХ ВОЗИЛА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– </w:t>
      </w:r>
      <w:r w:rsidRPr="00FB373E">
        <w:rPr>
          <w:rFonts w:ascii="Times New Roman" w:hAnsi="Times New Roman" w:cs="Times New Roman"/>
          <w:sz w:val="24"/>
          <w:szCs w:val="24"/>
        </w:rPr>
        <w:t>АУТО ОДГОВОРНОСТИ И КАСКО ОСИГУРАЊЕ ВОЗИЛА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97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940"/>
        <w:gridCol w:w="1188"/>
        <w:gridCol w:w="904"/>
        <w:gridCol w:w="898"/>
        <w:gridCol w:w="1513"/>
        <w:gridCol w:w="1293"/>
        <w:gridCol w:w="1440"/>
      </w:tblGrid>
      <w:tr w:rsidR="009A4493" w:rsidRPr="00FB373E" w:rsidTr="0088607A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ind w:left="-438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Рб.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Марка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и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тип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возила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Регистарска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ознака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Год.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роиз.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Снага (КW) Запремина (ццм)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шасије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Број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мотора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Сума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осигурања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</w:p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премију</w:t>
            </w:r>
          </w:p>
        </w:tc>
      </w:tr>
      <w:tr w:rsidR="009A4493" w:rsidRPr="00FB373E" w:rsidTr="0088607A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94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возил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proofErr w:type="gramEnd"/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списку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списку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списку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списку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списку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155.333,00</w:t>
            </w:r>
          </w:p>
        </w:tc>
      </w:tr>
      <w:tr w:rsidR="009A4493" w:rsidRPr="00FB373E" w:rsidTr="0088607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7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493" w:rsidRPr="00FB373E" w:rsidRDefault="009A4493" w:rsidP="0088607A">
            <w:pPr>
              <w:spacing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  <w:p w:rsidR="009A4493" w:rsidRPr="00FB373E" w:rsidRDefault="009A4493" w:rsidP="0088607A">
            <w:pPr>
              <w:spacing w:line="25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Укупна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премију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A4493" w:rsidRPr="00FB373E" w:rsidRDefault="009A4493" w:rsidP="0088607A">
            <w:pPr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155.333,00</w:t>
            </w:r>
          </w:p>
          <w:p w:rsidR="009A4493" w:rsidRPr="00FB373E" w:rsidRDefault="009A4493" w:rsidP="0088607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9A4493" w:rsidRPr="00FB373E" w:rsidTr="0088607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7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попуста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</w:tr>
      <w:tr w:rsidR="009A4493" w:rsidRPr="00FB373E" w:rsidTr="0088607A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7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Укупна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без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пореза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на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премију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са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попустом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ind w:left="-54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155.333,00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</w:rPr>
      </w:pPr>
      <w:r w:rsidRPr="00FB373E">
        <w:rPr>
          <w:rFonts w:ascii="Times New Roman" w:hAnsi="Times New Roman" w:cs="Times New Roman"/>
          <w:sz w:val="24"/>
          <w:szCs w:val="24"/>
          <w:u w:val="single"/>
        </w:rPr>
        <w:t>За сва возила важи: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 xml:space="preserve">Учешће у штети:  </w:t>
      </w:r>
      <w:r w:rsidRPr="00FB373E">
        <w:rPr>
          <w:rFonts w:ascii="Times New Roman" w:hAnsi="Times New Roman" w:cs="Times New Roman"/>
          <w:sz w:val="24"/>
          <w:szCs w:val="24"/>
          <w:lang w:val="sr-Cyrl-RS"/>
        </w:rPr>
        <w:t>без</w:t>
      </w:r>
      <w:r w:rsidRPr="00FB373E">
        <w:rPr>
          <w:rFonts w:ascii="Times New Roman" w:hAnsi="Times New Roman" w:cs="Times New Roman"/>
          <w:sz w:val="24"/>
          <w:szCs w:val="24"/>
        </w:rPr>
        <w:t xml:space="preserve"> учешћа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Уговорено покриће: основни каско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B373E">
        <w:rPr>
          <w:rFonts w:ascii="Times New Roman" w:hAnsi="Times New Roman" w:cs="Times New Roman"/>
          <w:sz w:val="24"/>
          <w:szCs w:val="24"/>
          <w:lang w:val="sr-Cyrl-RS"/>
        </w:rPr>
        <w:t>Осигурање путника у транспорту од последица несрећног случаја-незгоде на суму од 250,000 дин смрт услед незгоде и 500,000.00 тотални инвалидитет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Целокупан списак возила достављен у електронској форми. На списку се налази 4 возила. Достављени су марка и тип возила, година производње, снага и запремина мотора.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УКУПНА ПРЕМИЈА БЕЗ ПОРЕЗА НА ПРЕМИЈУ са попустом 155.333,00 динара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ОПШТИ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УСЛОВИ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НАРУЧИОЦА: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Опција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минимум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lang w:val="sr-Latn-CS"/>
        </w:rPr>
        <w:t>12</w:t>
      </w:r>
      <w:r w:rsidRPr="00FB373E">
        <w:rPr>
          <w:rFonts w:ascii="Times New Roman" w:eastAsia="Calibri" w:hAnsi="Times New Roman" w:cs="Times New Roman"/>
          <w:sz w:val="24"/>
          <w:szCs w:val="24"/>
        </w:rPr>
        <w:t>0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отварања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Цене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фиксне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могу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мењати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току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трајања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Рок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извршења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услуге 14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комплетирању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документације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Рок важења понуде: 125 дана од дана отварања понуде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ПАРТИЈА 1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 – ОСИГУРАЊЕ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ИМОВИНЕ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ЗБИРНА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РЕКАПИТУЛАЦИЈА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ВРСТАМА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5395"/>
        <w:gridCol w:w="2186"/>
      </w:tblGrid>
      <w:tr w:rsidR="009A4493" w:rsidRPr="00FB373E" w:rsidTr="0088607A">
        <w:trPr>
          <w:trHeight w:val="285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Врста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осигурања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</w:p>
        </w:tc>
      </w:tr>
      <w:tr w:rsidR="009A4493" w:rsidRPr="00FB373E" w:rsidTr="0088607A">
        <w:trPr>
          <w:trHeight w:val="297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Пожар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неке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друге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грађевинске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објекте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опрему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1.249.039,00</w:t>
            </w:r>
          </w:p>
        </w:tc>
      </w:tr>
      <w:tr w:rsidR="009A4493" w:rsidRPr="00FB373E" w:rsidTr="0088607A">
        <w:trPr>
          <w:trHeight w:val="285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Осигурање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машина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лома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неких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22.333.266,00</w:t>
            </w:r>
          </w:p>
        </w:tc>
      </w:tr>
      <w:tr w:rsidR="009A4493" w:rsidRPr="00FB373E" w:rsidTr="0088607A">
        <w:trPr>
          <w:trHeight w:val="310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Провална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крађа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разбојништво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142.485,00</w:t>
            </w:r>
          </w:p>
        </w:tc>
      </w:tr>
      <w:tr w:rsidR="009A4493" w:rsidRPr="00FB373E" w:rsidTr="0088607A">
        <w:trPr>
          <w:trHeight w:val="310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Осигурање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залиха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пожара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неких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других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опасности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131.965,00</w:t>
            </w:r>
          </w:p>
        </w:tc>
      </w:tr>
      <w:tr w:rsidR="009A4493" w:rsidRPr="00FB373E" w:rsidTr="0088607A">
        <w:trPr>
          <w:trHeight w:val="310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ОСИГУРАЊЕ МОТОРНИХ ВОЗИЛА</w:t>
            </w:r>
            <w:r w:rsidRPr="00FB37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– </w:t>
            </w:r>
            <w:r w:rsidRPr="00FB373E">
              <w:rPr>
                <w:rFonts w:ascii="Times New Roman" w:hAnsi="Times New Roman" w:cs="Times New Roman"/>
                <w:sz w:val="24"/>
                <w:szCs w:val="24"/>
              </w:rPr>
              <w:t>АУТО ОДГОВОРНОСТИ И КАСКО ОСИГУРАЊЕ ВОЗИЛА</w:t>
            </w:r>
          </w:p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155.333,00</w:t>
            </w:r>
          </w:p>
        </w:tc>
      </w:tr>
      <w:tr w:rsidR="009A4493" w:rsidRPr="00FB373E" w:rsidTr="0088607A">
        <w:trPr>
          <w:trHeight w:val="310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24.012.088,00</w:t>
            </w:r>
          </w:p>
        </w:tc>
      </w:tr>
    </w:tbl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ОПШТИ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УСЛОВИ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НАРУЧИОЦА: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Опција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минимум 120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отварања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Цене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фиксне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могу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мењати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току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трајања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Рок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извршења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услуге 14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комплетирању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документације</w:t>
      </w:r>
    </w:p>
    <w:p w:rsidR="009A4493" w:rsidRPr="00FB373E" w:rsidRDefault="009A4493" w:rsidP="009A4493">
      <w:pPr>
        <w:ind w:left="4320"/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ab/>
      </w:r>
      <w:r w:rsidRPr="00FB373E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ab/>
      </w:r>
      <w:r w:rsidRPr="00FB373E">
        <w:rPr>
          <w:rFonts w:ascii="Times New Roman" w:eastAsia="Calibri" w:hAnsi="Times New Roman" w:cs="Times New Roman"/>
          <w:sz w:val="24"/>
          <w:szCs w:val="24"/>
          <w:lang w:val="sr-Cyrl-CS" w:eastAsia="x-none"/>
        </w:rPr>
        <w:tab/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Рок важења понуде: 125 дана од дана отварања понуде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ПАРТИЈА 2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ОСИГУРАЊЕ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ЛИЦА </w:t>
      </w:r>
      <w:proofErr w:type="gramStart"/>
      <w:r w:rsidRPr="00FB373E">
        <w:rPr>
          <w:rFonts w:ascii="Times New Roman" w:eastAsia="Calibri" w:hAnsi="Times New Roman" w:cs="Times New Roman"/>
          <w:sz w:val="24"/>
          <w:szCs w:val="24"/>
        </w:rPr>
        <w:t>( ЗАПОСЛЕНИХ</w:t>
      </w:r>
      <w:proofErr w:type="gramEnd"/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ПОСЛЕДИЦА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НЕСРЕЋНОГ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СЛУЧАЈА – НЕЗГОДЕ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634"/>
        <w:gridCol w:w="986"/>
        <w:gridCol w:w="1481"/>
        <w:gridCol w:w="1376"/>
        <w:gridCol w:w="1851"/>
      </w:tblGrid>
      <w:tr w:rsidR="009A4493" w:rsidRPr="00FB373E" w:rsidTr="0088607A">
        <w:tc>
          <w:tcPr>
            <w:tcW w:w="4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Осигуране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суме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динарима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запосленом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Број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запослених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запослене (без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пореза)</w:t>
            </w:r>
          </w:p>
        </w:tc>
      </w:tr>
      <w:tr w:rsidR="009A4493" w:rsidRPr="00FB373E" w:rsidTr="0088607A">
        <w:trPr>
          <w:trHeight w:val="56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Смрт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услед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незгоде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Трајни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инвалидитет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636,00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344.850,00</w:t>
            </w:r>
          </w:p>
        </w:tc>
      </w:tr>
      <w:tr w:rsidR="009A4493" w:rsidRPr="00FB373E" w:rsidTr="0088607A">
        <w:trPr>
          <w:trHeight w:val="26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500.000,00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9A4493" w:rsidRPr="00FB373E" w:rsidTr="0088607A">
        <w:trPr>
          <w:trHeight w:val="263"/>
        </w:trPr>
        <w:tc>
          <w:tcPr>
            <w:tcW w:w="7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све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запослене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премију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попустом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344.850,00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73E">
        <w:rPr>
          <w:rFonts w:ascii="Times New Roman" w:hAnsi="Times New Roman" w:cs="Times New Roman"/>
          <w:sz w:val="24"/>
          <w:szCs w:val="24"/>
          <w:u w:val="single"/>
        </w:rPr>
        <w:t>ПОНУДА ТРЕБА ДА САДРЖИ:</w:t>
      </w:r>
    </w:p>
    <w:p w:rsidR="009A4493" w:rsidRPr="00FB373E" w:rsidRDefault="009A4493" w:rsidP="009A449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Премију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једном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запосленом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укупну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премију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за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све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запослене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УКУПНА ПРЕМИЈА ЗА СВЕ ЗАПОСЛЕНЕ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БЕЗ ПОРЕЗА НА ПРЕМИЈУ        344.850,00 динара</w:t>
      </w:r>
    </w:p>
    <w:p w:rsidR="009A4493" w:rsidRPr="00FB373E" w:rsidRDefault="009A4493" w:rsidP="009A449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ОПШТИ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УСЛОВИ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НАРУЧИОЦА: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Опција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минимум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lang w:val="sr-Latn-CS"/>
        </w:rPr>
        <w:t>12</w:t>
      </w:r>
      <w:r w:rsidRPr="00FB373E">
        <w:rPr>
          <w:rFonts w:ascii="Times New Roman" w:eastAsia="Calibri" w:hAnsi="Times New Roman" w:cs="Times New Roman"/>
          <w:sz w:val="24"/>
          <w:szCs w:val="24"/>
        </w:rPr>
        <w:t>0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отварања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Цене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фиксне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могу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мењати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току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трајања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Рок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извршења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услуге 14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комплетирању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документације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ПАРТИЈА 3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1 </w:t>
      </w:r>
      <w:r w:rsidRPr="00FB373E">
        <w:rPr>
          <w:rFonts w:ascii="Times New Roman" w:hAnsi="Times New Roman" w:cs="Times New Roman"/>
          <w:sz w:val="24"/>
          <w:szCs w:val="24"/>
        </w:rPr>
        <w:t>ОПШТА ОДГОВОРНОСТ ЗДРАВСТВЕНЕ УСТАНОВЕ ИЗ ПОСЕДОВАЊА ПОСЛОВНОГ ПРОСТОРА И ОБАВЉАЊА ДЕЛАТНОСТИ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5"/>
        <w:gridCol w:w="3015"/>
        <w:gridCol w:w="2976"/>
      </w:tblGrid>
      <w:tr w:rsidR="009A4493" w:rsidRPr="00FB373E" w:rsidTr="0088607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Горња граница по осигураном случају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Укупна сума осигурања за период трајања покрића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Цена без пореза</w:t>
            </w:r>
          </w:p>
        </w:tc>
      </w:tr>
      <w:tr w:rsidR="009A4493" w:rsidRPr="00FB373E" w:rsidTr="0088607A"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1.230.000,00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4.920.000,00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212.641,00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  <w:u w:val="single"/>
        </w:rPr>
        <w:t>ПОНУДА ТРЕБА ДА САДРЖИ:</w:t>
      </w:r>
    </w:p>
    <w:p w:rsidR="009A4493" w:rsidRPr="00FB373E" w:rsidRDefault="009A4493" w:rsidP="009A4493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понуда треба да садржи одговорност послодавца за штете које </w:t>
      </w:r>
      <w:proofErr w:type="gramStart"/>
      <w:r w:rsidRPr="00FB373E">
        <w:rPr>
          <w:rFonts w:ascii="Times New Roman" w:eastAsia="Calibri" w:hAnsi="Times New Roman" w:cs="Times New Roman"/>
          <w:sz w:val="24"/>
          <w:szCs w:val="24"/>
        </w:rPr>
        <w:t>претрпе  запослени</w:t>
      </w:r>
      <w:proofErr w:type="gramEnd"/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. </w:t>
      </w:r>
    </w:p>
    <w:p w:rsidR="009A4493" w:rsidRPr="00FB373E" w:rsidRDefault="009A4493" w:rsidP="009A4493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Понуду дати без учешћа у штети наручиоца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lastRenderedPageBreak/>
        <w:t>УКУПНАПРЕМИЈА       212.641,00 динара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ОПШТИУСЛОВИНАРУЧИОЦА: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Опција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минимум 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12</w:t>
      </w:r>
      <w:r w:rsidRPr="00FB373E">
        <w:rPr>
          <w:rFonts w:ascii="Times New Roman" w:eastAsia="Calibri" w:hAnsi="Times New Roman" w:cs="Times New Roman"/>
          <w:sz w:val="24"/>
          <w:szCs w:val="24"/>
        </w:rPr>
        <w:t>0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отварања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Цене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фиксне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могу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мењати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току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трајања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Рок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извршења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услуге 14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комплетирању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документације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Рок важења понуде: 125 дана од дана отварања понуде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73E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FB373E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FB373E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 </w:t>
      </w:r>
      <w:r w:rsidRPr="00FB373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ПРОФЕСИОНАЛНА ОДГОВОРНОСТ ЛЕКАРА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1.ОСИГУРАЊЕ ОДГОВОРНОСТИ ОСИГУРАНИКА ЗА ШТЕТЕ ПРОУЗРОКОВАНЕ ЛЕКАРСКОМ ГРЕШКОМ И ГРЕШКОМ МЕДИЦИНСКОГ ОСОБЉА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966"/>
        <w:gridCol w:w="2918"/>
      </w:tblGrid>
      <w:tr w:rsidR="009A4493" w:rsidRPr="00FB373E" w:rsidTr="008860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Горња граница по осигураном случају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Укупна сума осигурања за период трајања покрића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Цена без пореза</w:t>
            </w:r>
          </w:p>
        </w:tc>
      </w:tr>
      <w:tr w:rsidR="009A4493" w:rsidRPr="00FB373E" w:rsidTr="0088607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3.690.000,00</w:t>
            </w:r>
          </w:p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GB"/>
              </w:rPr>
            </w:pPr>
            <w:r w:rsidRPr="00FB373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14.760.000,00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93" w:rsidRPr="00FB373E" w:rsidRDefault="009A4493" w:rsidP="0088607A">
            <w:pPr>
              <w:widowControl w:val="0"/>
              <w:suppressAutoHyphens/>
              <w:spacing w:line="256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sr-Cyrl-RS"/>
              </w:rPr>
              <w:t>267.317,00</w:t>
            </w:r>
          </w:p>
        </w:tc>
      </w:tr>
    </w:tbl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  <w:u w:val="single"/>
        </w:rPr>
        <w:t>ПОНУДА ТРЕБА ДА САДРЖИ:</w:t>
      </w:r>
    </w:p>
    <w:p w:rsidR="009A4493" w:rsidRPr="00FB373E" w:rsidRDefault="009A4493" w:rsidP="009A4493">
      <w:pPr>
        <w:numPr>
          <w:ilvl w:val="0"/>
          <w:numId w:val="1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Понуду дати без учешћа у штети наручиоца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УКУПНА ПРЕМИЈА        267.317,00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ОПШТИ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УСЛОВИ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НАРУЧИОЦА: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Опција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минимум 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12</w:t>
      </w:r>
      <w:r w:rsidRPr="00FB373E">
        <w:rPr>
          <w:rFonts w:ascii="Times New Roman" w:eastAsia="Calibri" w:hAnsi="Times New Roman" w:cs="Times New Roman"/>
          <w:sz w:val="24"/>
          <w:szCs w:val="24"/>
        </w:rPr>
        <w:t>0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отварања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Цене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фиксне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могу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мењати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току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трајања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Рок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извршења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услуге 14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комплетирању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документације.</w:t>
      </w:r>
    </w:p>
    <w:p w:rsidR="009A4493" w:rsidRPr="00FB373E" w:rsidRDefault="009A4493" w:rsidP="009A44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493" w:rsidRPr="00FB373E" w:rsidRDefault="009A4493" w:rsidP="009A449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Pr="00FB373E">
        <w:rPr>
          <w:rFonts w:ascii="Times New Roman" w:hAnsi="Times New Roman" w:cs="Times New Roman"/>
          <w:sz w:val="24"/>
          <w:szCs w:val="24"/>
        </w:rPr>
        <w:t>Рок важења понуде: 125 дана од дана отварања понуде</w:t>
      </w:r>
      <w:r w:rsidRPr="00FB373E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FB373E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FB373E">
        <w:rPr>
          <w:rFonts w:ascii="Times New Roman" w:hAnsi="Times New Roman" w:cs="Times New Roman"/>
          <w:i/>
          <w:sz w:val="24"/>
          <w:szCs w:val="24"/>
          <w:lang w:val="sr-Latn-CS"/>
        </w:rPr>
        <w:t xml:space="preserve">  </w:t>
      </w:r>
      <w:r w:rsidRPr="00FB373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ПАРТИЈА 3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FB373E">
        <w:rPr>
          <w:rFonts w:ascii="Times New Roman" w:eastAsia="Calibri" w:hAnsi="Times New Roman" w:cs="Times New Roman"/>
          <w:sz w:val="24"/>
          <w:szCs w:val="24"/>
        </w:rPr>
        <w:t xml:space="preserve"> – ОСИГУРАЊЕ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одговорности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ЗБИРНА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РЕКАПИТУЛАЦИЈА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ВРСТАМА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5395"/>
        <w:gridCol w:w="2186"/>
      </w:tblGrid>
      <w:tr w:rsidR="009A4493" w:rsidRPr="00FB373E" w:rsidTr="0088607A">
        <w:trPr>
          <w:trHeight w:val="285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Ред. број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Врста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осигурања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</w:p>
        </w:tc>
      </w:tr>
      <w:tr w:rsidR="009A4493" w:rsidRPr="00FB373E" w:rsidTr="0088607A">
        <w:trPr>
          <w:trHeight w:val="297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Општа одговорност ЗУ</w:t>
            </w:r>
          </w:p>
        </w:tc>
        <w:tc>
          <w:tcPr>
            <w:tcW w:w="21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212.641,00</w:t>
            </w:r>
          </w:p>
        </w:tc>
      </w:tr>
      <w:tr w:rsidR="009A4493" w:rsidRPr="00FB373E" w:rsidTr="0088607A">
        <w:trPr>
          <w:trHeight w:val="285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Професионална одговорност ЗУ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267.317,00</w:t>
            </w:r>
          </w:p>
        </w:tc>
      </w:tr>
      <w:tr w:rsidR="009A4493" w:rsidRPr="00FB373E" w:rsidTr="0088607A">
        <w:trPr>
          <w:trHeight w:val="310"/>
        </w:trPr>
        <w:tc>
          <w:tcPr>
            <w:tcW w:w="94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пореза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FB373E">
              <w:rPr>
                <w:rFonts w:ascii="Times New Roman" w:eastAsia="Calibri" w:hAnsi="Times New Roman" w:cs="Times New Roman"/>
                <w:sz w:val="24"/>
                <w:szCs w:val="24"/>
              </w:rPr>
              <w:t>премију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A4493" w:rsidRPr="00FB373E" w:rsidRDefault="009A4493" w:rsidP="0088607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FB373E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479.958,00</w:t>
            </w:r>
          </w:p>
        </w:tc>
      </w:tr>
    </w:tbl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493" w:rsidRPr="00FB373E" w:rsidRDefault="009A4493" w:rsidP="009A449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ОПШТИ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УСЛОВИ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  <w:u w:val="single"/>
        </w:rPr>
        <w:t>НАРУЧИОЦА: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Опција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минимум 120 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од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дана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отварања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понуда,</w:t>
      </w:r>
    </w:p>
    <w:p w:rsidR="009A4493" w:rsidRPr="00FB373E" w:rsidRDefault="009A4493" w:rsidP="009A4493">
      <w:pPr>
        <w:numPr>
          <w:ilvl w:val="1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B373E">
        <w:rPr>
          <w:rFonts w:ascii="Times New Roman" w:eastAsia="Calibri" w:hAnsi="Times New Roman" w:cs="Times New Roman"/>
          <w:sz w:val="24"/>
          <w:szCs w:val="24"/>
        </w:rPr>
        <w:t>Цене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фиксне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gramStart"/>
      <w:r w:rsidRPr="00FB373E">
        <w:rPr>
          <w:rFonts w:ascii="Times New Roman" w:eastAsia="Calibri" w:hAnsi="Times New Roman" w:cs="Times New Roman"/>
          <w:sz w:val="24"/>
          <w:szCs w:val="24"/>
        </w:rPr>
        <w:t>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</w:t>
      </w:r>
      <w:r w:rsidRPr="00FB373E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могу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се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мењати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току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трајања</w:t>
      </w:r>
      <w:r w:rsidRPr="00FB37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eastAsia="Calibri" w:hAnsi="Times New Roman" w:cs="Times New Roman"/>
          <w:sz w:val="24"/>
          <w:szCs w:val="24"/>
        </w:rPr>
        <w:t>осигурања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FB373E">
        <w:rPr>
          <w:rFonts w:ascii="Times New Roman" w:hAnsi="Times New Roman" w:cs="Times New Roman"/>
          <w:sz w:val="24"/>
          <w:szCs w:val="24"/>
        </w:rPr>
        <w:t>Рок</w:t>
      </w:r>
      <w:r w:rsidRPr="00FB3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</w:rPr>
        <w:t>извршења</w:t>
      </w:r>
      <w:r w:rsidRPr="00FB3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</w:rPr>
        <w:t>услуге 14 дана</w:t>
      </w:r>
      <w:r w:rsidRPr="00FB3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</w:rPr>
        <w:t>по</w:t>
      </w:r>
      <w:r w:rsidRPr="00FB3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</w:rPr>
        <w:t>комплетирању</w:t>
      </w:r>
      <w:r w:rsidRPr="00FB373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</w:rPr>
        <w:t>документације</w:t>
      </w:r>
    </w:p>
    <w:p w:rsidR="009A4493" w:rsidRPr="00FB373E" w:rsidRDefault="009A4493" w:rsidP="009A4493">
      <w:pPr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FB373E">
        <w:rPr>
          <w:rFonts w:ascii="Times New Roman" w:hAnsi="Times New Roman" w:cs="Times New Roman"/>
          <w:sz w:val="24"/>
          <w:szCs w:val="24"/>
        </w:rPr>
        <w:t xml:space="preserve">Критеријум за избор најповољније понуде је критеријум најниже понуђене цене.                                                 </w:t>
      </w:r>
    </w:p>
    <w:p w:rsidR="009A4493" w:rsidRDefault="009A4493" w:rsidP="009A4493">
      <w:pPr>
        <w:ind w:right="-495"/>
        <w:rPr>
          <w:rFonts w:ascii="Times New Roman" w:hAnsi="Times New Roman" w:cs="Times New Roman"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>Комисија</w:t>
      </w:r>
      <w:r>
        <w:rPr>
          <w:rFonts w:ascii="Times New Roman" w:hAnsi="Times New Roman" w:cs="Times New Roman"/>
          <w:sz w:val="24"/>
          <w:szCs w:val="24"/>
        </w:rPr>
        <w:t xml:space="preserve"> наручиоца је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ценила  достављену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понуду</w:t>
      </w:r>
      <w:r w:rsidRPr="00FB373E">
        <w:rPr>
          <w:rFonts w:ascii="Times New Roman" w:hAnsi="Times New Roman" w:cs="Times New Roman"/>
          <w:sz w:val="24"/>
          <w:szCs w:val="24"/>
        </w:rPr>
        <w:t xml:space="preserve"> у предметном поступку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јавне набавке </w:t>
      </w:r>
      <w:r w:rsidRPr="00FB373E">
        <w:rPr>
          <w:rFonts w:ascii="Times New Roman" w:hAnsi="Times New Roman" w:cs="Times New Roman"/>
          <w:sz w:val="24"/>
          <w:szCs w:val="24"/>
        </w:rPr>
        <w:t xml:space="preserve"> и констатовала да је  заједничка понуда групе понуђача „ДДОР НОВИ САД“ Бул.Михајла Пупина 8, Нови Сад „УНИQА НЕЖИВОТНО ОСИГУРАЊЕ“,Милутина Миланковића 134</w:t>
      </w:r>
      <w:r>
        <w:rPr>
          <w:rFonts w:ascii="Times New Roman" w:hAnsi="Times New Roman" w:cs="Times New Roman"/>
          <w:sz w:val="24"/>
          <w:szCs w:val="24"/>
        </w:rPr>
        <w:t xml:space="preserve"> г, Београд прихватљива за доле наведене партије:</w:t>
      </w:r>
    </w:p>
    <w:p w:rsidR="009A4493" w:rsidRPr="00A14DF6" w:rsidRDefault="009A4493" w:rsidP="009A44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 xml:space="preserve">Осигурање запослених 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ab/>
        <w:t>349.000 без пдв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(партија бр.2)</w:t>
      </w:r>
    </w:p>
    <w:p w:rsidR="009A4493" w:rsidRPr="00A14DF6" w:rsidRDefault="009A4493" w:rsidP="009A4493">
      <w:pPr>
        <w:ind w:right="-90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FB373E">
        <w:rPr>
          <w:rFonts w:ascii="Times New Roman" w:hAnsi="Times New Roman" w:cs="Times New Roman"/>
          <w:sz w:val="24"/>
          <w:szCs w:val="24"/>
          <w:lang w:val="sr-Latn-CS"/>
        </w:rPr>
        <w:t>Осигурање по основу опште и професионалне одговорности 480.000 без пдв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(партија бр.3)</w:t>
      </w:r>
    </w:p>
    <w:p w:rsidR="009A4493" w:rsidRPr="00FB373E" w:rsidRDefault="009A4493" w:rsidP="009A4493">
      <w:pPr>
        <w:ind w:right="-4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Заједничку понуду</w:t>
      </w:r>
      <w:r w:rsidRPr="00FB373E">
        <w:rPr>
          <w:rFonts w:ascii="Times New Roman" w:hAnsi="Times New Roman" w:cs="Times New Roman"/>
          <w:sz w:val="24"/>
          <w:szCs w:val="24"/>
        </w:rPr>
        <w:t xml:space="preserve"> групе понуђача „ДДОР НОВИ </w:t>
      </w:r>
      <w:proofErr w:type="gramStart"/>
      <w:r w:rsidRPr="00FB373E">
        <w:rPr>
          <w:rFonts w:ascii="Times New Roman" w:hAnsi="Times New Roman" w:cs="Times New Roman"/>
          <w:sz w:val="24"/>
          <w:szCs w:val="24"/>
        </w:rPr>
        <w:t>САД“ Бул.</w:t>
      </w:r>
      <w:proofErr w:type="gramEnd"/>
      <w:r w:rsidRPr="00FB373E">
        <w:rPr>
          <w:rFonts w:ascii="Times New Roman" w:hAnsi="Times New Roman" w:cs="Times New Roman"/>
          <w:sz w:val="24"/>
          <w:szCs w:val="24"/>
        </w:rPr>
        <w:t>Михајла Пупина 8, Нови Сад „УНИQА НЕЖИВОТНО ОСИГУРАЊЕ“,Милутина Миланковића 134</w:t>
      </w:r>
      <w:r>
        <w:rPr>
          <w:rFonts w:ascii="Times New Roman" w:hAnsi="Times New Roman" w:cs="Times New Roman"/>
          <w:sz w:val="24"/>
          <w:szCs w:val="24"/>
        </w:rPr>
        <w:t xml:space="preserve"> г,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Београд</w:t>
      </w:r>
      <w:r w:rsidRPr="00FB3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FB373E">
        <w:rPr>
          <w:rFonts w:ascii="Times New Roman" w:hAnsi="Times New Roman" w:cs="Times New Roman"/>
          <w:sz w:val="24"/>
          <w:szCs w:val="24"/>
        </w:rPr>
        <w:t xml:space="preserve">Комисија наручиоца је одбила </w:t>
      </w:r>
      <w:r>
        <w:rPr>
          <w:rFonts w:ascii="Times New Roman" w:hAnsi="Times New Roman" w:cs="Times New Roman"/>
          <w:sz w:val="24"/>
          <w:szCs w:val="24"/>
        </w:rPr>
        <w:t xml:space="preserve">за  партију бр.1 </w:t>
      </w:r>
      <w:r w:rsidRPr="00FB373E">
        <w:rPr>
          <w:rFonts w:ascii="Times New Roman" w:hAnsi="Times New Roman" w:cs="Times New Roman"/>
          <w:sz w:val="24"/>
          <w:szCs w:val="24"/>
        </w:rPr>
        <w:t>као неприхватљиву</w:t>
      </w:r>
      <w:r>
        <w:rPr>
          <w:rFonts w:ascii="Times New Roman" w:hAnsi="Times New Roman" w:cs="Times New Roman"/>
          <w:sz w:val="24"/>
          <w:szCs w:val="24"/>
        </w:rPr>
        <w:t xml:space="preserve">  јер иста превазилази процењену вредност наведене партије</w:t>
      </w:r>
      <w:r w:rsidRPr="00FB373E">
        <w:rPr>
          <w:rFonts w:ascii="Times New Roman" w:hAnsi="Times New Roman" w:cs="Times New Roman"/>
          <w:sz w:val="24"/>
          <w:szCs w:val="24"/>
        </w:rPr>
        <w:t>.</w:t>
      </w:r>
    </w:p>
    <w:p w:rsidR="009A4493" w:rsidRPr="00F0374E" w:rsidRDefault="009A4493" w:rsidP="009A4493">
      <w:pPr>
        <w:ind w:right="-495"/>
        <w:rPr>
          <w:rFonts w:ascii="Times New Roman" w:hAnsi="Times New Roman" w:cs="Times New Roman"/>
          <w:b/>
          <w:sz w:val="24"/>
          <w:szCs w:val="24"/>
        </w:rPr>
      </w:pPr>
      <w:r w:rsidRPr="00FB373E">
        <w:rPr>
          <w:rFonts w:ascii="Times New Roman" w:hAnsi="Times New Roman" w:cs="Times New Roman"/>
          <w:sz w:val="24"/>
          <w:szCs w:val="24"/>
        </w:rPr>
        <w:t xml:space="preserve">У предметном поступку јавне </w:t>
      </w:r>
      <w:proofErr w:type="gramStart"/>
      <w:r w:rsidRPr="00FB373E">
        <w:rPr>
          <w:rFonts w:ascii="Times New Roman" w:hAnsi="Times New Roman" w:cs="Times New Roman"/>
          <w:sz w:val="24"/>
          <w:szCs w:val="24"/>
        </w:rPr>
        <w:t xml:space="preserve">набавке  </w:t>
      </w:r>
      <w:r w:rsidRPr="00F16DB8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наручиоца </w:t>
      </w:r>
      <w:r w:rsidRPr="00F16DB8">
        <w:rPr>
          <w:rFonts w:ascii="Times New Roman" w:hAnsi="Times New Roman" w:cs="Times New Roman"/>
          <w:b/>
          <w:sz w:val="24"/>
          <w:szCs w:val="24"/>
        </w:rPr>
        <w:t xml:space="preserve"> предлаже</w:t>
      </w:r>
      <w:r w:rsidRPr="00FB373E">
        <w:rPr>
          <w:rFonts w:ascii="Times New Roman" w:hAnsi="Times New Roman" w:cs="Times New Roman"/>
          <w:sz w:val="24"/>
          <w:szCs w:val="24"/>
        </w:rPr>
        <w:t xml:space="preserve"> в.д. Директору Института да донесе одлуку о додели уговора и  </w:t>
      </w:r>
      <w:r w:rsidRPr="00F0374E">
        <w:rPr>
          <w:rFonts w:ascii="Times New Roman" w:hAnsi="Times New Roman" w:cs="Times New Roman"/>
          <w:b/>
          <w:sz w:val="24"/>
          <w:szCs w:val="24"/>
        </w:rPr>
        <w:t xml:space="preserve">уговор </w:t>
      </w:r>
      <w:r w:rsidRPr="00F0374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партију бр 2. и партију бр.3. </w:t>
      </w:r>
      <w:r w:rsidRPr="00F0374E">
        <w:rPr>
          <w:rFonts w:ascii="Times New Roman" w:hAnsi="Times New Roman" w:cs="Times New Roman"/>
          <w:b/>
          <w:sz w:val="24"/>
          <w:szCs w:val="24"/>
        </w:rPr>
        <w:t xml:space="preserve">додели подносиоцима заједничке понуде </w:t>
      </w:r>
      <w:bookmarkStart w:id="3" w:name="_Hlk485806843"/>
      <w:r w:rsidRPr="00F0374E">
        <w:rPr>
          <w:rFonts w:ascii="Times New Roman" w:hAnsi="Times New Roman" w:cs="Times New Roman"/>
          <w:b/>
          <w:sz w:val="24"/>
          <w:szCs w:val="24"/>
        </w:rPr>
        <w:t xml:space="preserve">групе понуђача „ДДОР НОВИ </w:t>
      </w:r>
      <w:proofErr w:type="gramStart"/>
      <w:r w:rsidRPr="00F0374E">
        <w:rPr>
          <w:rFonts w:ascii="Times New Roman" w:hAnsi="Times New Roman" w:cs="Times New Roman"/>
          <w:b/>
          <w:sz w:val="24"/>
          <w:szCs w:val="24"/>
        </w:rPr>
        <w:t>САД“ Бул.</w:t>
      </w:r>
      <w:proofErr w:type="gramEnd"/>
      <w:r w:rsidRPr="00F0374E">
        <w:rPr>
          <w:rFonts w:ascii="Times New Roman" w:hAnsi="Times New Roman" w:cs="Times New Roman"/>
          <w:b/>
          <w:sz w:val="24"/>
          <w:szCs w:val="24"/>
        </w:rPr>
        <w:t xml:space="preserve">Михајла Пупина 8, Нови Сад „УНИQА НЕЖИВОТНО ОСИГУРАЊЕ“, Милутина Миланковића 134 г, Београд. </w:t>
      </w:r>
    </w:p>
    <w:p w:rsidR="00975864" w:rsidRDefault="009A4493" w:rsidP="009A4493">
      <w:pPr>
        <w:ind w:right="-495" w:firstLine="360"/>
        <w:rPr>
          <w:rFonts w:ascii="Times New Roman" w:hAnsi="Times New Roman" w:cs="Times New Roman"/>
          <w:sz w:val="24"/>
          <w:szCs w:val="24"/>
        </w:rPr>
      </w:pPr>
      <w:r w:rsidRPr="00F16DB8">
        <w:rPr>
          <w:rFonts w:ascii="Times New Roman" w:hAnsi="Times New Roman" w:cs="Times New Roman"/>
          <w:b/>
          <w:sz w:val="24"/>
          <w:szCs w:val="24"/>
          <w:lang w:val="sr-Cyrl-RS"/>
        </w:rPr>
        <w:t>За партију бр.1 (осигурање имовине)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16DB8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наручиоца предлаже да в.д. директора Института донесе Одлуку о обустави поступка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FB3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bookmarkEnd w:id="3"/>
    <w:p w:rsidR="00975864" w:rsidRDefault="00975864" w:rsidP="009A4493">
      <w:pPr>
        <w:ind w:right="-495" w:firstLine="360"/>
        <w:rPr>
          <w:rFonts w:ascii="Times New Roman" w:hAnsi="Times New Roman" w:cs="Times New Roman"/>
          <w:sz w:val="24"/>
          <w:szCs w:val="24"/>
        </w:rPr>
      </w:pP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t xml:space="preserve">На основу </w:t>
      </w:r>
      <w:proofErr w:type="gramStart"/>
      <w:r w:rsidRPr="00975864">
        <w:rPr>
          <w:rFonts w:ascii="Times New Roman" w:hAnsi="Times New Roman" w:cs="Times New Roman"/>
          <w:sz w:val="24"/>
          <w:szCs w:val="24"/>
        </w:rPr>
        <w:t>изнетог ,донета</w:t>
      </w:r>
      <w:proofErr w:type="gramEnd"/>
      <w:r w:rsidRPr="00975864">
        <w:rPr>
          <w:rFonts w:ascii="Times New Roman" w:hAnsi="Times New Roman" w:cs="Times New Roman"/>
          <w:sz w:val="24"/>
          <w:szCs w:val="24"/>
        </w:rPr>
        <w:t xml:space="preserve"> је одлука као у диспозитиву.</w:t>
      </w:r>
    </w:p>
    <w:p w:rsidR="00975864" w:rsidRPr="00975864" w:rsidRDefault="00975864" w:rsidP="00975864">
      <w:pPr>
        <w:ind w:left="3600"/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t>В.Д. ДИРЕКТОРА ИНСТИТУТА ЗА ОНКОЛОГИЈУ                     И РАДИОЛОГИЈУ СРБИЈЕ</w:t>
      </w: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Проф.др. Радан Џодић</w:t>
      </w: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t xml:space="preserve">ПОУКА О ПРАВНОМ ЛЕКУ: Против ове одлуке може се поднети Захтев за заштиту права у року од 10 дана од дана </w:t>
      </w:r>
      <w:proofErr w:type="gramStart"/>
      <w:r w:rsidRPr="00975864">
        <w:rPr>
          <w:rFonts w:ascii="Times New Roman" w:hAnsi="Times New Roman" w:cs="Times New Roman"/>
          <w:sz w:val="24"/>
          <w:szCs w:val="24"/>
        </w:rPr>
        <w:t>објављивања  исте</w:t>
      </w:r>
      <w:proofErr w:type="gramEnd"/>
      <w:r w:rsidRPr="00975864">
        <w:rPr>
          <w:rFonts w:ascii="Times New Roman" w:hAnsi="Times New Roman" w:cs="Times New Roman"/>
          <w:sz w:val="24"/>
          <w:szCs w:val="24"/>
        </w:rPr>
        <w:t xml:space="preserve"> на порталу Управе за јавне набавке .</w:t>
      </w: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lastRenderedPageBreak/>
        <w:t>Захтев за заштиту права подноси се наручиоцу непосредно или поштом препоручено са повратницом.</w:t>
      </w: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t>Копију Захтева за заштиту права подносилац истовремено доставља Републичкој комисији за заштиту права у поступцима јавних набавки.</w:t>
      </w: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</w:p>
    <w:p w:rsidR="00975864" w:rsidRPr="00975864" w:rsidRDefault="00975864" w:rsidP="00975864">
      <w:pPr>
        <w:rPr>
          <w:rFonts w:ascii="Times New Roman" w:hAnsi="Times New Roman" w:cs="Times New Roman"/>
          <w:sz w:val="24"/>
          <w:szCs w:val="24"/>
        </w:rPr>
      </w:pPr>
      <w:r w:rsidRPr="00975864">
        <w:rPr>
          <w:rFonts w:ascii="Times New Roman" w:hAnsi="Times New Roman" w:cs="Times New Roman"/>
          <w:sz w:val="24"/>
          <w:szCs w:val="24"/>
        </w:rPr>
        <w:t>Доставити:</w:t>
      </w:r>
    </w:p>
    <w:p w:rsidR="00B90390" w:rsidRDefault="00975864" w:rsidP="00975864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975864">
        <w:rPr>
          <w:rFonts w:ascii="Times New Roman" w:hAnsi="Times New Roman" w:cs="Times New Roman"/>
          <w:sz w:val="24"/>
          <w:szCs w:val="24"/>
        </w:rPr>
        <w:t>-Одељењу за јавне набавке</w:t>
      </w:r>
    </w:p>
    <w:p w:rsidR="006A27D4" w:rsidRDefault="00B90390" w:rsidP="00975864">
      <w:r>
        <w:rPr>
          <w:rFonts w:ascii="Times New Roman" w:hAnsi="Times New Roman" w:cs="Times New Roman"/>
          <w:sz w:val="24"/>
          <w:szCs w:val="24"/>
          <w:lang w:val="sr-Cyrl-RS"/>
        </w:rPr>
        <w:t>-Архиви</w:t>
      </w:r>
      <w:bookmarkStart w:id="4" w:name="_GoBack"/>
      <w:bookmarkEnd w:id="4"/>
      <w:r w:rsidR="003F1739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</w:t>
      </w:r>
    </w:p>
    <w:sectPr w:rsidR="006A27D4" w:rsidSect="00796F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3EB"/>
    <w:multiLevelType w:val="hybridMultilevel"/>
    <w:tmpl w:val="12DA9DB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285894"/>
    <w:multiLevelType w:val="hybridMultilevel"/>
    <w:tmpl w:val="08A8894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A904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D1AE8"/>
    <w:multiLevelType w:val="hybridMultilevel"/>
    <w:tmpl w:val="D764C0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7339B"/>
    <w:multiLevelType w:val="hybridMultilevel"/>
    <w:tmpl w:val="15723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645D9"/>
    <w:multiLevelType w:val="hybridMultilevel"/>
    <w:tmpl w:val="ACDE6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26A7"/>
    <w:multiLevelType w:val="hybridMultilevel"/>
    <w:tmpl w:val="32F8C08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83ACF"/>
    <w:multiLevelType w:val="hybridMultilevel"/>
    <w:tmpl w:val="A8DC8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524957"/>
    <w:multiLevelType w:val="hybridMultilevel"/>
    <w:tmpl w:val="C1380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221CF"/>
    <w:multiLevelType w:val="hybridMultilevel"/>
    <w:tmpl w:val="033EE1C6"/>
    <w:lvl w:ilvl="0" w:tplc="2C2AA4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7D3E21E8">
      <w:numFmt w:val="none"/>
      <w:lvlText w:val=""/>
      <w:lvlJc w:val="left"/>
      <w:pPr>
        <w:tabs>
          <w:tab w:val="num" w:pos="360"/>
        </w:tabs>
      </w:pPr>
    </w:lvl>
    <w:lvl w:ilvl="2" w:tplc="227E8AA2">
      <w:numFmt w:val="none"/>
      <w:lvlText w:val=""/>
      <w:lvlJc w:val="left"/>
      <w:pPr>
        <w:tabs>
          <w:tab w:val="num" w:pos="360"/>
        </w:tabs>
      </w:pPr>
    </w:lvl>
    <w:lvl w:ilvl="3" w:tplc="097E5FB6">
      <w:numFmt w:val="none"/>
      <w:lvlText w:val=""/>
      <w:lvlJc w:val="left"/>
      <w:pPr>
        <w:tabs>
          <w:tab w:val="num" w:pos="360"/>
        </w:tabs>
      </w:pPr>
    </w:lvl>
    <w:lvl w:ilvl="4" w:tplc="6118621A">
      <w:numFmt w:val="none"/>
      <w:lvlText w:val=""/>
      <w:lvlJc w:val="left"/>
      <w:pPr>
        <w:tabs>
          <w:tab w:val="num" w:pos="360"/>
        </w:tabs>
      </w:pPr>
    </w:lvl>
    <w:lvl w:ilvl="5" w:tplc="178E0042">
      <w:numFmt w:val="none"/>
      <w:lvlText w:val=""/>
      <w:lvlJc w:val="left"/>
      <w:pPr>
        <w:tabs>
          <w:tab w:val="num" w:pos="360"/>
        </w:tabs>
      </w:pPr>
    </w:lvl>
    <w:lvl w:ilvl="6" w:tplc="52922828">
      <w:numFmt w:val="none"/>
      <w:lvlText w:val=""/>
      <w:lvlJc w:val="left"/>
      <w:pPr>
        <w:tabs>
          <w:tab w:val="num" w:pos="360"/>
        </w:tabs>
      </w:pPr>
    </w:lvl>
    <w:lvl w:ilvl="7" w:tplc="F3B88D2C">
      <w:numFmt w:val="none"/>
      <w:lvlText w:val=""/>
      <w:lvlJc w:val="left"/>
      <w:pPr>
        <w:tabs>
          <w:tab w:val="num" w:pos="360"/>
        </w:tabs>
      </w:pPr>
    </w:lvl>
    <w:lvl w:ilvl="8" w:tplc="4E42D28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D45333"/>
    <w:multiLevelType w:val="hybridMultilevel"/>
    <w:tmpl w:val="7822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567C8"/>
    <w:multiLevelType w:val="hybridMultilevel"/>
    <w:tmpl w:val="743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1E727C"/>
    <w:multiLevelType w:val="hybridMultilevel"/>
    <w:tmpl w:val="9E50F430"/>
    <w:lvl w:ilvl="0" w:tplc="62EA16E0">
      <w:start w:val="1"/>
      <w:numFmt w:val="decimal"/>
      <w:lvlText w:val="%1."/>
      <w:lvlJc w:val="left"/>
      <w:pPr>
        <w:ind w:left="720" w:hanging="360"/>
      </w:pPr>
    </w:lvl>
    <w:lvl w:ilvl="1" w:tplc="F530DA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15495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E40C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C2CB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0C2553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A66C3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66403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A9890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69FD505E"/>
    <w:multiLevelType w:val="hybridMultilevel"/>
    <w:tmpl w:val="A344F6E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071644"/>
    <w:multiLevelType w:val="hybridMultilevel"/>
    <w:tmpl w:val="EE222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1A6793"/>
    <w:multiLevelType w:val="hybridMultilevel"/>
    <w:tmpl w:val="7A3E40A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F1739"/>
    <w:rsid w:val="000E2C4F"/>
    <w:rsid w:val="000F0188"/>
    <w:rsid w:val="0019490F"/>
    <w:rsid w:val="0037727E"/>
    <w:rsid w:val="003852C5"/>
    <w:rsid w:val="003F1739"/>
    <w:rsid w:val="006A27D4"/>
    <w:rsid w:val="007566FB"/>
    <w:rsid w:val="0078431F"/>
    <w:rsid w:val="00796F99"/>
    <w:rsid w:val="007A35FE"/>
    <w:rsid w:val="007B7B18"/>
    <w:rsid w:val="008152EA"/>
    <w:rsid w:val="008A62F2"/>
    <w:rsid w:val="00975864"/>
    <w:rsid w:val="0099333D"/>
    <w:rsid w:val="009A4493"/>
    <w:rsid w:val="00B36C04"/>
    <w:rsid w:val="00B86CED"/>
    <w:rsid w:val="00B90390"/>
    <w:rsid w:val="00D005FB"/>
    <w:rsid w:val="00FC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41E8"/>
  <w15:docId w15:val="{2DFE01D6-9DAD-451B-A700-D5336DA1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F99"/>
  </w:style>
  <w:style w:type="paragraph" w:styleId="Heading1">
    <w:name w:val="heading 1"/>
    <w:basedOn w:val="Normal"/>
    <w:next w:val="Normal"/>
    <w:link w:val="Heading1Char"/>
    <w:qFormat/>
    <w:rsid w:val="00B86CE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BodyText"/>
    <w:link w:val="Heading5Char"/>
    <w:qFormat/>
    <w:rsid w:val="00B86CED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6C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86CED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BodyTextChar">
    <w:name w:val="Body Text Char"/>
    <w:link w:val="BodyText"/>
    <w:locked/>
    <w:rsid w:val="00B86CED"/>
    <w:rPr>
      <w:b/>
      <w:szCs w:val="24"/>
      <w:lang w:val="sr-Latn-CS"/>
    </w:rPr>
  </w:style>
  <w:style w:type="paragraph" w:styleId="BodyText">
    <w:name w:val="Body Text"/>
    <w:basedOn w:val="Normal"/>
    <w:link w:val="BodyTextChar"/>
    <w:rsid w:val="00B86CED"/>
    <w:pPr>
      <w:spacing w:after="0" w:line="240" w:lineRule="auto"/>
    </w:pPr>
    <w:rPr>
      <w:b/>
      <w:szCs w:val="24"/>
      <w:lang w:val="sr-Latn-CS"/>
    </w:rPr>
  </w:style>
  <w:style w:type="character" w:customStyle="1" w:styleId="BodyTextChar1">
    <w:name w:val="Body Text Char1"/>
    <w:basedOn w:val="DefaultParagraphFont"/>
    <w:rsid w:val="00B86CED"/>
  </w:style>
  <w:style w:type="paragraph" w:styleId="ListParagraph">
    <w:name w:val="List Paragraph"/>
    <w:basedOn w:val="Normal"/>
    <w:uiPriority w:val="34"/>
    <w:qFormat/>
    <w:rsid w:val="00B86CE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22</cp:revision>
  <dcterms:created xsi:type="dcterms:W3CDTF">2016-06-14T09:55:00Z</dcterms:created>
  <dcterms:modified xsi:type="dcterms:W3CDTF">2017-06-21T09:21:00Z</dcterms:modified>
</cp:coreProperties>
</file>